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pPr>
    </w:p>
    <w:p>
      <w:pPr>
        <w:spacing w:line="360" w:lineRule="auto"/>
        <w:ind w:firstLine="2160" w:firstLineChars="300"/>
        <w:jc w:val="both"/>
        <w:rPr>
          <w:sz w:val="72"/>
          <w:szCs w:val="72"/>
          <w:lang w:eastAsia="zh-CN"/>
        </w:rPr>
      </w:pPr>
      <w:r>
        <w:rPr>
          <w:rFonts w:hint="eastAsia"/>
          <w:sz w:val="72"/>
          <w:szCs w:val="72"/>
          <w:lang w:eastAsia="zh-CN"/>
        </w:rPr>
        <w:t>琅岐镇人民政府</w:t>
      </w:r>
    </w:p>
    <w:p>
      <w:pPr>
        <w:spacing w:line="360" w:lineRule="auto"/>
        <w:jc w:val="center"/>
        <w:rPr>
          <w:sz w:val="40"/>
          <w:lang w:eastAsia="zh-CN"/>
        </w:rPr>
      </w:pPr>
      <w:r>
        <w:rPr>
          <w:sz w:val="52"/>
          <w:szCs w:val="44"/>
          <w:lang w:eastAsia="zh-CN"/>
        </w:rPr>
        <w:t>视频监控系统</w:t>
      </w:r>
      <w:r>
        <w:rPr>
          <w:rFonts w:hint="eastAsia"/>
          <w:sz w:val="52"/>
          <w:szCs w:val="44"/>
          <w:lang w:eastAsia="zh-CN"/>
        </w:rPr>
        <w:t>方案</w:t>
      </w:r>
    </w:p>
    <w:p>
      <w:pPr>
        <w:pStyle w:val="2"/>
        <w:rPr>
          <w:lang w:eastAsia="zh-CN"/>
        </w:rPr>
      </w:pPr>
      <w:r>
        <w:rPr>
          <w:lang w:eastAsia="zh-CN"/>
        </w:rPr>
        <w:t xml:space="preserve">设备配置清单  </w:t>
      </w:r>
    </w:p>
    <w:tbl>
      <w:tblPr>
        <w:tblStyle w:val="20"/>
        <w:tblW w:w="9013" w:type="dxa"/>
        <w:tblInd w:w="-318" w:type="dxa"/>
        <w:tblLayout w:type="fixed"/>
        <w:tblCellMar>
          <w:top w:w="0" w:type="dxa"/>
          <w:left w:w="108" w:type="dxa"/>
          <w:bottom w:w="0" w:type="dxa"/>
          <w:right w:w="108" w:type="dxa"/>
        </w:tblCellMar>
      </w:tblPr>
      <w:tblGrid>
        <w:gridCol w:w="494"/>
        <w:gridCol w:w="635"/>
        <w:gridCol w:w="635"/>
        <w:gridCol w:w="494"/>
        <w:gridCol w:w="3732"/>
        <w:gridCol w:w="599"/>
        <w:gridCol w:w="630"/>
        <w:gridCol w:w="780"/>
        <w:gridCol w:w="840"/>
        <w:gridCol w:w="174"/>
      </w:tblGrid>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序号</w:t>
            </w: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p>
        </w:tc>
        <w:tc>
          <w:tcPr>
            <w:tcW w:w="635" w:type="dxa"/>
            <w:tcBorders>
              <w:top w:val="single" w:color="auto" w:sz="4" w:space="0"/>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品牌</w:t>
            </w:r>
          </w:p>
        </w:tc>
        <w:tc>
          <w:tcPr>
            <w:tcW w:w="4226" w:type="dxa"/>
            <w:gridSpan w:val="2"/>
            <w:tcBorders>
              <w:top w:val="single" w:color="auto" w:sz="4" w:space="0"/>
              <w:left w:val="nil"/>
              <w:bottom w:val="single" w:color="auto" w:sz="4" w:space="0"/>
              <w:right w:val="nil"/>
            </w:tcBorders>
            <w:shd w:val="clear" w:color="auto" w:fill="auto"/>
            <w:vAlign w:val="center"/>
          </w:tcPr>
          <w:p>
            <w:pPr>
              <w:ind w:firstLine="0"/>
              <w:jc w:val="center"/>
              <w:rPr>
                <w:rFonts w:ascii="宋体" w:hAnsi="宋体" w:cs="宋体"/>
                <w:color w:val="000000"/>
                <w:sz w:val="18"/>
                <w:szCs w:val="18"/>
                <w:lang w:eastAsia="zh-CN" w:bidi="ar-SA"/>
              </w:rPr>
            </w:pPr>
            <w:r>
              <w:rPr>
                <w:rFonts w:hint="eastAsia" w:ascii="宋体" w:hAnsi="宋体" w:cs="宋体"/>
                <w:color w:val="000000"/>
                <w:sz w:val="18"/>
                <w:szCs w:val="18"/>
                <w:lang w:eastAsia="zh-CN" w:bidi="ar-SA"/>
              </w:rPr>
              <w:t>技术参数</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单位</w:t>
            </w:r>
          </w:p>
        </w:tc>
        <w:tc>
          <w:tcPr>
            <w:tcW w:w="630" w:type="dxa"/>
            <w:tcBorders>
              <w:top w:val="single" w:color="auto" w:sz="4" w:space="0"/>
              <w:left w:val="nil"/>
              <w:bottom w:val="single" w:color="auto" w:sz="4" w:space="0"/>
              <w:right w:val="single" w:color="auto" w:sz="4" w:space="0"/>
            </w:tcBorders>
            <w:shd w:val="clear" w:color="auto" w:fill="auto"/>
            <w:vAlign w:val="center"/>
          </w:tcPr>
          <w:p>
            <w:pPr>
              <w:ind w:firstLine="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数量</w:t>
            </w:r>
          </w:p>
        </w:tc>
        <w:tc>
          <w:tcPr>
            <w:tcW w:w="780" w:type="dxa"/>
            <w:tcBorders>
              <w:top w:val="single" w:color="auto" w:sz="4" w:space="0"/>
              <w:left w:val="nil"/>
              <w:bottom w:val="single" w:color="auto" w:sz="4" w:space="0"/>
              <w:right w:val="single" w:color="auto" w:sz="4" w:space="0"/>
            </w:tcBorders>
            <w:shd w:val="clear" w:color="auto" w:fill="auto"/>
            <w:vAlign w:val="center"/>
          </w:tcPr>
          <w:p>
            <w:pPr>
              <w:ind w:firstLine="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单价</w:t>
            </w:r>
          </w:p>
        </w:tc>
        <w:tc>
          <w:tcPr>
            <w:tcW w:w="840" w:type="dxa"/>
            <w:tcBorders>
              <w:top w:val="single" w:color="auto" w:sz="4" w:space="0"/>
              <w:left w:val="nil"/>
              <w:bottom w:val="single" w:color="auto" w:sz="4" w:space="0"/>
              <w:right w:val="single" w:color="auto" w:sz="4" w:space="0"/>
            </w:tcBorders>
            <w:shd w:val="clear" w:color="auto" w:fill="auto"/>
            <w:vAlign w:val="center"/>
          </w:tcPr>
          <w:p>
            <w:pPr>
              <w:ind w:firstLine="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合计</w:t>
            </w:r>
          </w:p>
        </w:tc>
      </w:tr>
      <w:tr>
        <w:tblPrEx>
          <w:tblLayout w:type="fixed"/>
          <w:tblCellMar>
            <w:top w:w="0" w:type="dxa"/>
            <w:left w:w="108" w:type="dxa"/>
            <w:bottom w:w="0" w:type="dxa"/>
            <w:right w:w="108" w:type="dxa"/>
          </w:tblCellMar>
        </w:tblPrEx>
        <w:trPr>
          <w:gridAfter w:val="1"/>
          <w:wAfter w:w="174" w:type="dxa"/>
          <w:trHeight w:val="9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eastAsia="宋体" w:cs="宋体"/>
                <w:color w:val="auto"/>
                <w:sz w:val="18"/>
                <w:szCs w:val="18"/>
                <w:lang w:val="en-US"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网络高速球</w:t>
            </w:r>
          </w:p>
        </w:tc>
        <w:tc>
          <w:tcPr>
            <w:tcW w:w="4226" w:type="dxa"/>
            <w:gridSpan w:val="2"/>
            <w:tcBorders>
              <w:top w:val="nil"/>
              <w:left w:val="nil"/>
              <w:bottom w:val="single" w:color="auto" w:sz="4" w:space="0"/>
              <w:right w:val="nil"/>
            </w:tcBorders>
            <w:shd w:val="clear" w:color="auto" w:fill="auto"/>
            <w:vAlign w:val="center"/>
          </w:tcPr>
          <w:p>
            <w:pPr>
              <w:numPr>
                <w:ilvl w:val="0"/>
                <w:numId w:val="1"/>
              </w:num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图像传感器≥1/2.8" CMOS或者1/2.8" CCD</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 视频输出支持≥2592×1520@30fps，分辨力≥1500TVL，具有≥400万像素CMOS传感器；</w:t>
            </w:r>
          </w:p>
          <w:p>
            <w:pPr>
              <w:numPr>
                <w:ilvl w:val="0"/>
                <w:numId w:val="1"/>
              </w:num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3. ★红外距离≥240M</w:t>
            </w:r>
          </w:p>
          <w:p>
            <w:pPr>
              <w:numPr>
                <w:ilvl w:val="0"/>
                <w:numId w:val="1"/>
              </w:num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4. 支持≥30倍光学变焦，支持≥16倍数字变焦</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5. 支持最低照度彩色≤0.005Lux，黑白≤0.0005Lux6. 信噪比≥57dB</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7. 图像传输延时≤140ms8. 支持宽动态、透雾、强光抑制、电子防抖、数字降噪、防红外过曝功能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9. 支持隐私遮蔽功能，支持多种颜色、马赛克可选</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10. 支持水平手控速度≥450°/S，云台定位精度为±0.1°</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11. 垂直手控速度≥200°/S</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12. 水平旋转范围为360°连续旋转，垂直旋转范围为-20°~90°13. 具有≥1个RJ45网络接口，≥1个BNC模拟视频输出接口，≥1个RS485接口</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14. 支持用鼠标在图像画面中选定的任意区域，移动放大或缩小至画面中心</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15. 支持≥300个预置位，支持≥12条巡航扫描，支持≥7条以上的模式路径设置，支持预置点视频冻结功能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16. 支持云台优先级控制，485与网络可设置不同优先级</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17. 支持守望功能，当球机待机时间达到设置值时，可自动运行调预置位、自动巡航、自动扫描、模式路径等功能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18. 支持屏幕字符显示功能，最多支持≥8行字符显示，字体大小、颜色可设</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19. 支持掉电记忆功能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20. 支持定时抓图、事件抓图上传ftp功能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21. 支持SD卡热插拔，最大支持≥128GB</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22. 支持通过菜单进行感兴趣区域编码设置，最多可支持8块区域</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23. ★支持采用H.265、H.264视频编码标准，H.264编码支持Baseline/Main/High Profile，音频编码支持G.711ulaw/G.711alaw/G.726/MP2L2/AAC</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24. 支持三码流同时输出</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25. 支持标准Onvif协议，支持GB/T28181协议</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26. 支持IP地址过滤功能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27. ★支持噪声过滤</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28. ★支持区域入侵、越界入侵、进入区域、离开区域、徘徊、物品移除、物品遗留、人员聚集、人脸侦测，并联动报警</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29. ★支持音频异常侦测，具有音频陡升检测、音频陡降检测、音频输入异常检测</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30. ★需具有黑白名单功能，其中白名单可添加≥10个IP地址。</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31. 支持≥IP6632. 具备较好的环境适应性，工作温度范围可达-45℃-70℃</w:t>
            </w:r>
          </w:p>
          <w:p>
            <w:pPr>
              <w:numPr>
                <w:ilvl w:val="0"/>
                <w:numId w:val="2"/>
              </w:numPr>
              <w:spacing w:line="390" w:lineRule="atLeast"/>
              <w:ind w:left="0"/>
              <w:rPr>
                <w:rFonts w:ascii="宋体" w:hAnsi="宋体" w:cs="宋体"/>
                <w:bCs/>
                <w:sz w:val="18"/>
                <w:szCs w:val="18"/>
                <w:lang w:eastAsia="zh-CN"/>
              </w:rPr>
            </w:pPr>
            <w:r>
              <w:rPr>
                <w:rFonts w:hint="eastAsia" w:ascii="宋体" w:hAnsi="宋体" w:cs="宋体"/>
                <w:color w:val="000000"/>
                <w:sz w:val="18"/>
                <w:szCs w:val="18"/>
                <w:lang w:eastAsia="zh-CN" w:bidi="ar-SA"/>
              </w:rPr>
              <w:t>32.</w:t>
            </w:r>
            <w:r>
              <w:rPr>
                <w:rFonts w:hint="eastAsia" w:ascii="宋体" w:hAnsi="宋体" w:cs="宋体"/>
                <w:bCs/>
                <w:sz w:val="18"/>
                <w:szCs w:val="18"/>
                <w:lang w:eastAsia="zh-CN"/>
              </w:rPr>
              <w:t>成交后的第二个工作日现货供应，十个工作日必须完工，设备出现故障3个工作日仍无法处理，免费给单位提供同类型机器备用，机器整机厂家免费保修五年，现场电话查验，若有一项不符以上参数要求，用户方不予验收付款，</w:t>
            </w:r>
          </w:p>
          <w:p>
            <w:pPr>
              <w:ind w:firstLine="0"/>
              <w:rPr>
                <w:rFonts w:ascii="宋体" w:hAnsi="宋体" w:cs="宋体"/>
                <w:color w:val="000000"/>
                <w:sz w:val="18"/>
                <w:szCs w:val="18"/>
                <w:lang w:eastAsia="zh-CN" w:bidi="ar-SA"/>
              </w:rPr>
            </w:pP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360" w:firstLineChars="0"/>
              <w:jc w:val="center"/>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1"/>
                <w:szCs w:val="21"/>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1"/>
                <w:szCs w:val="21"/>
                <w:u w:val="none"/>
                <w:lang w:val="en-US" w:eastAsia="zh-CN" w:bidi="ar"/>
              </w:rPr>
              <w:t>3750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eastAsia="宋体" w:cs="宋体"/>
                <w:i w:val="0"/>
                <w:color w:val="000000"/>
                <w:kern w:val="0"/>
                <w:sz w:val="21"/>
                <w:szCs w:val="21"/>
                <w:u w:val="none"/>
                <w:lang w:val="en-US" w:eastAsia="zh-CN" w:bidi="ar"/>
              </w:rPr>
              <w:t>3750</w:t>
            </w:r>
          </w:p>
        </w:tc>
      </w:tr>
      <w:tr>
        <w:tblPrEx>
          <w:tblLayout w:type="fixed"/>
          <w:tblCellMar>
            <w:top w:w="0" w:type="dxa"/>
            <w:left w:w="108" w:type="dxa"/>
            <w:bottom w:w="0" w:type="dxa"/>
            <w:right w:w="108" w:type="dxa"/>
          </w:tblCellMar>
        </w:tblPrEx>
        <w:trPr>
          <w:gridAfter w:val="1"/>
          <w:wAfter w:w="174" w:type="dxa"/>
          <w:trHeight w:val="8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p>
        </w:tc>
        <w:tc>
          <w:tcPr>
            <w:tcW w:w="635" w:type="dxa"/>
            <w:tcBorders>
              <w:top w:val="nil"/>
              <w:left w:val="nil"/>
              <w:bottom w:val="single" w:color="auto" w:sz="4" w:space="0"/>
              <w:right w:val="single" w:color="auto" w:sz="4" w:space="0"/>
            </w:tcBorders>
            <w:shd w:val="clear" w:color="auto" w:fill="auto"/>
            <w:vAlign w:val="center"/>
          </w:tcPr>
          <w:p>
            <w:pPr>
              <w:ind w:firstLine="0"/>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rPr>
                <w:rFonts w:ascii="宋体" w:hAnsi="宋体" w:cs="宋体"/>
                <w:color w:val="auto"/>
                <w:sz w:val="18"/>
                <w:szCs w:val="18"/>
                <w:lang w:eastAsia="zh-CN" w:bidi="ar-SA"/>
              </w:rPr>
            </w:pPr>
            <w:r>
              <w:rPr>
                <w:rFonts w:hint="eastAsia" w:ascii="宋体" w:hAnsi="宋体" w:cs="宋体"/>
                <w:color w:val="auto"/>
                <w:sz w:val="18"/>
                <w:szCs w:val="18"/>
                <w:lang w:eastAsia="zh-CN" w:bidi="ar-SA"/>
              </w:rPr>
              <w:t>枪型摄像机</w:t>
            </w:r>
          </w:p>
        </w:tc>
        <w:tc>
          <w:tcPr>
            <w:tcW w:w="4226" w:type="dxa"/>
            <w:gridSpan w:val="2"/>
            <w:tcBorders>
              <w:top w:val="nil"/>
              <w:left w:val="nil"/>
              <w:bottom w:val="single" w:color="auto" w:sz="4" w:space="0"/>
              <w:right w:val="nil"/>
            </w:tcBorders>
            <w:shd w:val="clear" w:color="auto" w:fill="auto"/>
            <w:vAlign w:val="center"/>
          </w:tcPr>
          <w:p>
            <w:pPr>
              <w:numPr>
                <w:ilvl w:val="0"/>
                <w:numId w:val="3"/>
              </w:num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具有200万像素CMOS传感器；</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2. 最大分辨率≥2560x1440@25fps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3. ★需具有20路取流路数能力，以满足更多用户同时在线访问摄像机视频。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4. ★最低照度彩色：0.01 lx，黑白：0.001 lx，灰度等级不小于11级。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5. ★红外补光距离不小于85米。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6. ★需支持三码流技术，可同时输出三路码流，主码流最高1920x1080@30fps，第三码流最大1920x1080@30fps，子码流704x576@30fps。</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7. ★在1920x1080@25fps下，码率设定为1Mbps，网口输出，清晰度不小于1000TVL。</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 xml:space="preserve">8. ★支持H.264、H.265、MJPEG视频编码格式，其中H.264和H.265支持Baseline/Main/High Profile。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 ★信噪比不小于55dB。</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 xml:space="preserve">10. 支持宽动态功能。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11. ★支持8行字符显示，字体颜色可设置，需具有图片叠加到视频画面功能。</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12. 支持区域遮盖功能，并能支持8块区域。</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13. ★设置密码时，需可以自动提示密码复杂度为高、中、低。</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14. ★需具有黑白名单功能，其中白名单可添加不小于10个IP地址。</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15. ★设备支持无需输入用户名和密码即能浏览视频图像的匿名访问功能。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16. ★需具备人脸检测、区域入侵检测、越界检测、虚焦检测、进入区域、离开区域、徘徊、人员聚集、逆行、场景变更等功能。</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17. ★可开启或关闭智能后检索功能。</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18. 需具有电子防抖功能、ROI感兴趣区域设置、SVC、自动增益、背光补偿、数字降噪、强光抑制、防红外过曝、走廊模式功能。</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19. ★摄像机能够在-30~60摄氏度，湿度小于93%环境下稳定工作。</w:t>
            </w:r>
          </w:p>
          <w:p>
            <w:pPr>
              <w:ind w:firstLine="0"/>
              <w:rPr>
                <w:rFonts w:hint="eastAsia" w:ascii="宋体" w:hAnsi="宋体" w:cs="宋体"/>
                <w:color w:val="000000"/>
                <w:sz w:val="18"/>
                <w:szCs w:val="18"/>
                <w:lang w:eastAsia="zh-CN" w:bidi="ar-SA"/>
              </w:rPr>
            </w:pPr>
            <w:r>
              <w:rPr>
                <w:rFonts w:hint="eastAsia" w:ascii="宋体" w:hAnsi="宋体" w:cs="宋体"/>
                <w:color w:val="000000"/>
                <w:sz w:val="18"/>
                <w:szCs w:val="18"/>
                <w:lang w:eastAsia="zh-CN" w:bidi="ar-SA"/>
              </w:rPr>
              <w:t xml:space="preserve">20. ★不低于IP67防尘防水等级。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21. 具有1个RJ-45 10M/100M自适应网络接口。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 xml:space="preserve">22. ★需支持DC12V供电，且在不小于DC12V±30%范围内变化时可以正常工作。 </w:t>
            </w:r>
            <w:r>
              <w:rPr>
                <w:rFonts w:hint="eastAsia" w:ascii="宋体" w:hAnsi="宋体" w:cs="宋体"/>
                <w:color w:val="000000"/>
                <w:sz w:val="18"/>
                <w:szCs w:val="18"/>
                <w:lang w:eastAsia="zh-CN" w:bidi="ar-SA"/>
              </w:rPr>
              <w:br w:type="textWrapping"/>
            </w:r>
            <w:r>
              <w:rPr>
                <w:rFonts w:hint="eastAsia" w:ascii="宋体" w:hAnsi="宋体" w:cs="宋体"/>
                <w:color w:val="000000"/>
                <w:sz w:val="18"/>
                <w:szCs w:val="18"/>
                <w:lang w:eastAsia="zh-CN" w:bidi="ar-SA"/>
              </w:rPr>
              <w:t>23. ★设备工作状态时，支持空气放电8kV，接触放电6kV，通讯端口支持6kV峰值电压。</w:t>
            </w:r>
          </w:p>
          <w:p>
            <w:pPr>
              <w:ind w:firstLine="0"/>
              <w:rPr>
                <w:rFonts w:ascii="宋体" w:hAnsi="宋体" w:cs="宋体"/>
                <w:color w:val="000000"/>
                <w:sz w:val="18"/>
                <w:szCs w:val="18"/>
                <w:lang w:eastAsia="zh-CN" w:bidi="ar-SA"/>
              </w:rPr>
            </w:pPr>
            <w:r>
              <w:rPr>
                <w:rFonts w:hint="eastAsia" w:ascii="宋体" w:hAnsi="宋体" w:cs="宋体"/>
                <w:color w:val="000000"/>
                <w:sz w:val="18"/>
                <w:szCs w:val="18"/>
                <w:lang w:eastAsia="zh-CN" w:bidi="ar-SA"/>
              </w:rPr>
              <w:t>24.</w:t>
            </w:r>
            <w:r>
              <w:rPr>
                <w:rFonts w:hint="eastAsia" w:ascii="宋体" w:hAnsi="宋体" w:cs="宋体"/>
                <w:bCs/>
                <w:sz w:val="18"/>
                <w:szCs w:val="18"/>
                <w:lang w:eastAsia="zh-CN"/>
              </w:rPr>
              <w:t>成交后的第二个工作日现货供应，十个工作日必须完工，设备出现故障3个工作日仍无法处理，免费给单位提供同类型机器备用，机器整机厂家免费保修五年，现场电话查验，若有一项不符以上参数要求，用户方不予验收付款。</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color w:val="000000"/>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4"/>
                <w:szCs w:val="24"/>
                <w:u w:val="none"/>
                <w:lang w:val="en-US" w:eastAsia="zh-CN" w:bidi="ar"/>
              </w:rPr>
              <w:t>15</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4"/>
                <w:szCs w:val="24"/>
                <w:u w:val="none"/>
                <w:lang w:val="en-US" w:eastAsia="zh-CN" w:bidi="ar"/>
              </w:rPr>
              <w:t>2380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eastAsia="宋体" w:cs="宋体"/>
                <w:i w:val="0"/>
                <w:color w:val="000000"/>
                <w:kern w:val="0"/>
                <w:sz w:val="22"/>
                <w:szCs w:val="22"/>
                <w:u w:val="none"/>
                <w:lang w:val="en-US" w:eastAsia="zh-CN" w:bidi="ar"/>
              </w:rPr>
              <w:t>35700</w:t>
            </w:r>
          </w:p>
        </w:tc>
      </w:tr>
      <w:tr>
        <w:tblPrEx>
          <w:tblLayout w:type="fixed"/>
          <w:tblCellMar>
            <w:top w:w="0" w:type="dxa"/>
            <w:left w:w="108" w:type="dxa"/>
            <w:bottom w:w="0" w:type="dxa"/>
            <w:right w:w="108" w:type="dxa"/>
          </w:tblCellMar>
        </w:tblPrEx>
        <w:trPr>
          <w:gridAfter w:val="1"/>
          <w:wAfter w:w="174" w:type="dxa"/>
          <w:trHeight w:val="8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3</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32路硬盘录像机</w:t>
            </w:r>
          </w:p>
        </w:tc>
        <w:tc>
          <w:tcPr>
            <w:tcW w:w="4226" w:type="dxa"/>
            <w:gridSpan w:val="2"/>
            <w:tcBorders>
              <w:top w:val="nil"/>
              <w:left w:val="nil"/>
              <w:bottom w:val="single" w:color="auto" w:sz="4" w:space="0"/>
              <w:right w:val="nil"/>
            </w:tcBorders>
            <w:shd w:val="clear" w:color="auto" w:fill="auto"/>
            <w:vAlign w:val="center"/>
          </w:tcPr>
          <w:p>
            <w:pPr>
              <w:numPr>
                <w:ilvl w:val="0"/>
                <w:numId w:val="4"/>
              </w:numPr>
              <w:ind w:firstLine="0"/>
              <w:rPr>
                <w:rFonts w:ascii="宋体" w:hAnsi="宋体" w:cs="宋体"/>
                <w:sz w:val="18"/>
                <w:szCs w:val="18"/>
                <w:lang w:eastAsia="zh-CN" w:bidi="ar-SA"/>
              </w:rPr>
            </w:pPr>
            <w:r>
              <w:rPr>
                <w:rFonts w:hint="eastAsia" w:ascii="宋体" w:hAnsi="宋体" w:cs="宋体"/>
                <w:sz w:val="18"/>
                <w:szCs w:val="18"/>
                <w:lang w:eastAsia="zh-CN" w:bidi="ar-SA"/>
              </w:rPr>
              <w:t>可接入带宽≥400Mbps的≥32路H.265编码、1080p格式的视频图像，并支持≥1200W高清网络视频的解码显示</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 可自适应接入H.264、H.265编码格式的IPC（3. ★支持≥2路HDMI、≥2路VGA输出，支持 ≥4K（3840x2160/60Hz ）输出显示，HDMI或VGA接口可输出不同图像，并可分别进行预览、回放、配置等操作4. 解码能力：支持≥4路4K，≥16路1080p解码</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5. 可设置32/25/16/9/8/6/4/1等多种预览模式</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6. 支持≥8盘位硬盘接入，可自动识别硬盘工作信息，非工作硬盘处于休眠状态</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7. 支持RAID0、RAID1、RAID6、RAID10和RAID5，可指定某一块硬盘为热备盘，设置多个Raid分组时，非工作Raid组可自动处于休眠保护状态；</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8. 支持≥2个千兆以太网口，可将≥2个网口设置不同网段的IP地址，分别接入不同网段IP地址的IPC；</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9. 支持≥16路报警输入，≥8路报警输出接口</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10. 支持≥2个USB2.0，≥1个USB3.0</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11. ★支持7键触控面板；</w:t>
            </w:r>
          </w:p>
          <w:p>
            <w:pPr>
              <w:numPr>
                <w:ilvl w:val="0"/>
                <w:numId w:val="4"/>
              </w:numPr>
              <w:ind w:firstLine="0"/>
              <w:rPr>
                <w:rFonts w:ascii="宋体" w:hAnsi="宋体" w:cs="宋体"/>
                <w:sz w:val="18"/>
                <w:szCs w:val="18"/>
                <w:lang w:eastAsia="zh-CN" w:bidi="ar-SA"/>
              </w:rPr>
            </w:pPr>
            <w:r>
              <w:rPr>
                <w:rFonts w:hint="eastAsia" w:ascii="宋体" w:hAnsi="宋体" w:cs="宋体"/>
                <w:sz w:val="18"/>
                <w:szCs w:val="18"/>
                <w:lang w:eastAsia="zh-CN" w:bidi="ar-SA"/>
              </w:rPr>
              <w:t>12. ★支持走廊模式预览，可对画面中图像顺时针旋转270度或中心、上下、左右翻转预览；13. ★支持客户端与设备端进行实时双向对讲；支持客户端与设备的IP通道进行实时双向对讲；支持≥2路音频输出接口；</w:t>
            </w:r>
          </w:p>
          <w:p>
            <w:pPr>
              <w:numPr>
                <w:ilvl w:val="0"/>
                <w:numId w:val="4"/>
              </w:numPr>
              <w:ind w:firstLine="0"/>
              <w:rPr>
                <w:rFonts w:ascii="宋体" w:hAnsi="宋体" w:cs="宋体"/>
                <w:sz w:val="18"/>
                <w:szCs w:val="18"/>
                <w:lang w:eastAsia="zh-CN" w:bidi="ar-SA"/>
              </w:rPr>
            </w:pPr>
            <w:r>
              <w:rPr>
                <w:rFonts w:hint="eastAsia" w:ascii="宋体" w:hAnsi="宋体" w:cs="宋体"/>
                <w:sz w:val="18"/>
                <w:szCs w:val="18"/>
                <w:lang w:eastAsia="zh-CN" w:bidi="ar-SA"/>
              </w:rPr>
              <w:t>14. 支持对前端IPC远程升级；支持远程对IPC的参数配置修改，可以设置分辨率、码率、帧率、字符叠加、抓图设置等</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15. ★支持带有越界、区域入侵、进入/离开区域、人员聚集、快速移动、物品遗留/拿取、非法停车、徘徊、场景变更、图像虚焦、音频异常报警、人脸识别报警功能的网络摄像机接入与相关报警联动功能；</w:t>
            </w:r>
          </w:p>
          <w:p>
            <w:pPr>
              <w:numPr>
                <w:ilvl w:val="0"/>
                <w:numId w:val="4"/>
              </w:numPr>
              <w:ind w:firstLine="0"/>
              <w:rPr>
                <w:rFonts w:ascii="宋体" w:hAnsi="宋体" w:cs="宋体"/>
                <w:sz w:val="18"/>
                <w:szCs w:val="18"/>
                <w:lang w:eastAsia="zh-CN" w:bidi="ar-SA"/>
              </w:rPr>
            </w:pPr>
            <w:r>
              <w:rPr>
                <w:rFonts w:hint="eastAsia" w:ascii="宋体" w:hAnsi="宋体" w:cs="宋体"/>
                <w:sz w:val="18"/>
                <w:szCs w:val="18"/>
                <w:lang w:eastAsia="zh-CN" w:bidi="ar-SA"/>
              </w:rPr>
              <w:t>16. 支持人脸检测和抓拍功能（前端IPC需支持相应功能），可对监控画面中指定区域人脸进行分析，检测到人脸并抓拍人脸图像，并触发录像、上传中心及报警输出等功能</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17. 支持人脸检索功能，支持检索指定时间段和通道的人脸图片，并可关联录像回放</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18. 支持车牌识别和抓拍功能（前端IPC需支持相应功能），车辆进入设定区域时，可捕获、识别车辆号牌，抓拍车牌图片，并触发录像、上传中心及报警输出功能；</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19. 支持车牌检索功能，可对视频录像按照车牌检索模式进行检索，查询出指定时间段符合条件（号码、字符）的车牌图片，并可关联录像回放</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20. 支持客流量统计功能（前端IPC需支持相应功能），可统计指定时间段设定区域的客流数量；统计结果支持日报表、周报表、月报表、年报表方式展现</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21. 支持热度统计功能（前端IPC需支持相应功能），可统计指定时间段不同区域的客流量大小；统计结果支持日报表、周报表、月报表、年报表方式展现</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22. ★支持智能回放功能，录像回放中，有移动侦测、信号量报警、智能侦测等事件发生时，视频按正常速度播放，其他视频自动按高倍速播放23. 支持将不同时间段的多个目标叠加在一个背景上同时回放；</w:t>
            </w:r>
          </w:p>
          <w:p>
            <w:pPr>
              <w:ind w:firstLine="0"/>
              <w:rPr>
                <w:rFonts w:ascii="宋体" w:hAnsi="宋体" w:cs="宋体"/>
                <w:sz w:val="18"/>
                <w:szCs w:val="18"/>
                <w:lang w:eastAsia="zh-CN" w:bidi="ar-SA"/>
              </w:rPr>
            </w:pPr>
            <w:r>
              <w:rPr>
                <w:rFonts w:hint="eastAsia" w:ascii="宋体" w:hAnsi="宋体" w:cs="宋体"/>
                <w:sz w:val="18"/>
                <w:szCs w:val="18"/>
                <w:lang w:eastAsia="zh-CN" w:bidi="ar-SA"/>
              </w:rPr>
              <w:t>24. 支持将选中通道24小时内的录像文件按时间平均分配至多个窗口进行分时回放，回放窗口数量可配置，最大16分屏25. 支持可选主码流、子码流进行录像；支持定时、移动侦测录像、报警录像等多种录像方式；定时、事件录像参数可独立设置，包括码率、帧率等参数；支持定时抓图、报警抓图和手动抓图功能</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26. 支持针对不同视频通道，可配置相应的数据存储空间或存储磁盘</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27. ★支持对任一录像文件加锁、解锁，只有解锁后才可被覆盖，可对任一录像文件添加自定义标签，单个文件最大支持≥32个标签（需提供公安部授权机构在本招标公告发布前出具的有效检验报告复印件做为考评依据，原件备查）</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28. ★支持1/8、1/4、1/2、1、2、4、8、16、32、64、128、256等倍速回放录像，支持录像回放的剪辑和回放抓图功能</w:t>
            </w:r>
          </w:p>
          <w:p>
            <w:pPr>
              <w:ind w:firstLine="0"/>
              <w:rPr>
                <w:rFonts w:ascii="宋体" w:hAnsi="宋体" w:cs="宋体"/>
                <w:sz w:val="18"/>
                <w:szCs w:val="18"/>
                <w:lang w:eastAsia="zh-CN" w:bidi="ar-SA"/>
              </w:rPr>
            </w:pPr>
            <w:r>
              <w:rPr>
                <w:rFonts w:hint="eastAsia" w:ascii="宋体" w:hAnsi="宋体" w:cs="宋体"/>
                <w:sz w:val="18"/>
                <w:szCs w:val="18"/>
                <w:lang w:eastAsia="zh-CN" w:bidi="ar-SA"/>
              </w:rPr>
              <w:t>29. 支持录像自动续传功能（ANR），支持前端摄像机断网这段时间内SD卡中的录像（视IPC的存储空间大小而定）回传到NVR</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30. ★可同时正放或倒放≥16路H.265编码、1080p格式的视频图像；</w:t>
            </w:r>
          </w:p>
          <w:p>
            <w:pPr>
              <w:tabs>
                <w:tab w:val="left" w:pos="720"/>
              </w:tabs>
              <w:spacing w:line="390" w:lineRule="atLeast"/>
              <w:ind w:firstLine="0"/>
              <w:rPr>
                <w:rFonts w:ascii="宋体" w:hAnsi="宋体" w:cs="宋体"/>
                <w:bCs/>
                <w:sz w:val="18"/>
                <w:szCs w:val="18"/>
                <w:lang w:eastAsia="zh-CN"/>
              </w:rPr>
            </w:pPr>
            <w:r>
              <w:rPr>
                <w:rFonts w:hint="eastAsia" w:ascii="宋体" w:hAnsi="宋体" w:cs="宋体"/>
                <w:sz w:val="18"/>
                <w:szCs w:val="18"/>
                <w:lang w:eastAsia="zh-CN" w:bidi="ar-SA"/>
              </w:rPr>
              <w:t>31. 支持用户锁定功能，通过本地、远程登录设备时，如密码输入错误次数超过设定值，可锁定该用户</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32. 支持硬盘SMART检测与预警技术，并支持硬盘工作状态信息日志记录</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33. 支持双系统备份功能，检测到一个系统异常时，可从另一个系统启动，并恢复异常系统；</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 xml:space="preserve">34. </w:t>
            </w:r>
            <w:r>
              <w:rPr>
                <w:rFonts w:hint="eastAsia" w:ascii="宋体" w:hAnsi="宋体" w:cs="宋体"/>
                <w:bCs/>
                <w:sz w:val="18"/>
                <w:szCs w:val="18"/>
                <w:lang w:eastAsia="zh-CN"/>
              </w:rPr>
              <w:t>成交后的第二个工作日现货供应，十个工作日必须完工，设备出现故障3个工作日仍无法处理，免费给单位提供同类型机器备用，机器整机厂家免费保修五年，现场电话查验，为了更好的兼容性该机器需与摄像机同一品牌，若有一项不符以上参数要求，用户方不予验收付款，</w:t>
            </w:r>
          </w:p>
          <w:p>
            <w:pPr>
              <w:ind w:firstLine="0"/>
              <w:rPr>
                <w:rFonts w:ascii="宋体" w:hAnsi="宋体" w:cs="宋体"/>
                <w:sz w:val="18"/>
                <w:szCs w:val="18"/>
                <w:lang w:eastAsia="zh-CN" w:bidi="ar-SA"/>
              </w:rPr>
            </w:pP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6600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6600</w:t>
            </w:r>
          </w:p>
        </w:tc>
      </w:tr>
      <w:tr>
        <w:tblPrEx>
          <w:tblLayout w:type="fixed"/>
          <w:tblCellMar>
            <w:top w:w="0" w:type="dxa"/>
            <w:left w:w="108" w:type="dxa"/>
            <w:bottom w:w="0" w:type="dxa"/>
            <w:right w:w="108" w:type="dxa"/>
          </w:tblCellMar>
        </w:tblPrEx>
        <w:trPr>
          <w:gridAfter w:val="1"/>
          <w:wAfter w:w="174" w:type="dxa"/>
          <w:trHeight w:val="9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4</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eastAsia="zh-CN" w:bidi="ar-SA"/>
              </w:rPr>
              <w:t>华三、</w:t>
            </w:r>
            <w:r>
              <w:rPr>
                <w:rFonts w:hint="eastAsia" w:ascii="宋体" w:hAnsi="宋体" w:cs="宋体"/>
                <w:color w:val="auto"/>
                <w:sz w:val="18"/>
                <w:szCs w:val="18"/>
                <w:lang w:val="en-US" w:eastAsia="zh-CN" w:bidi="ar-SA"/>
              </w:rPr>
              <w:t>H3C、TPlink</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监控千兆核心交换机</w:t>
            </w:r>
          </w:p>
        </w:tc>
        <w:tc>
          <w:tcPr>
            <w:tcW w:w="4226" w:type="dxa"/>
            <w:gridSpan w:val="2"/>
            <w:tcBorders>
              <w:top w:val="single" w:color="auto" w:sz="4" w:space="0"/>
              <w:left w:val="nil"/>
              <w:bottom w:val="single" w:color="auto" w:sz="4" w:space="0"/>
              <w:right w:val="nil"/>
            </w:tcBorders>
            <w:shd w:val="clear" w:color="000000" w:fill="FFFFFF"/>
            <w:vAlign w:val="center"/>
          </w:tcPr>
          <w:p>
            <w:pPr>
              <w:numPr>
                <w:ilvl w:val="0"/>
                <w:numId w:val="5"/>
              </w:numPr>
              <w:ind w:firstLine="0"/>
              <w:rPr>
                <w:rFonts w:ascii="宋体" w:hAnsi="宋体" w:cs="宋体"/>
                <w:sz w:val="18"/>
                <w:szCs w:val="18"/>
                <w:lang w:eastAsia="zh-CN" w:bidi="ar-SA"/>
              </w:rPr>
            </w:pPr>
            <w:r>
              <w:rPr>
                <w:rFonts w:hint="eastAsia" w:ascii="宋体" w:hAnsi="宋体" w:cs="宋体"/>
                <w:sz w:val="18"/>
                <w:szCs w:val="18"/>
                <w:lang w:eastAsia="zh-CN" w:bidi="ar-SA"/>
              </w:rPr>
              <w:t>标准19英寸1U高机架设备，可上机架，固化千兆电接口数≥24个，千兆光口≥2个，最大可用端口≥26个</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2.24个千兆电口支持POE和POE+，整机POE供电功率≥370W</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3.交换容量≥48Gbps</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4.包转发率≥38.7Mpps</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5.MAC地址表≥8K</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6.配置流控开关，可开启或关闭整机流控功能</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7.工作温度范围≥50°C</w:t>
            </w:r>
          </w:p>
          <w:p>
            <w:pPr>
              <w:numPr>
                <w:ilvl w:val="0"/>
                <w:numId w:val="6"/>
              </w:numPr>
              <w:tabs>
                <w:tab w:val="clear" w:pos="312"/>
              </w:tabs>
              <w:rPr>
                <w:rFonts w:ascii="宋体" w:hAnsi="宋体" w:cs="宋体"/>
                <w:sz w:val="18"/>
                <w:szCs w:val="18"/>
                <w:lang w:eastAsia="zh-CN" w:bidi="ar-SA"/>
              </w:rPr>
            </w:pPr>
            <w:r>
              <w:rPr>
                <w:rFonts w:hint="eastAsia" w:ascii="宋体" w:hAnsi="宋体" w:cs="宋体"/>
                <w:sz w:val="18"/>
                <w:szCs w:val="18"/>
                <w:lang w:eastAsia="zh-CN" w:bidi="ar-SA"/>
              </w:rPr>
              <w:t>支持ARP防欺骗的功能，在交换机端口启用802.1X和WEB认证功能的前提下，能够禁止非法用户的ARP欺骗报文，保护合法用户免受其害，防止合法用户的数据被窃取</w:t>
            </w:r>
          </w:p>
          <w:p>
            <w:pPr>
              <w:numPr>
                <w:ilvl w:val="0"/>
                <w:numId w:val="6"/>
              </w:numPr>
              <w:tabs>
                <w:tab w:val="clear" w:pos="312"/>
              </w:tabs>
              <w:rPr>
                <w:rFonts w:ascii="宋体" w:hAnsi="宋体" w:cs="宋体"/>
                <w:sz w:val="18"/>
                <w:szCs w:val="18"/>
                <w:lang w:eastAsia="zh-CN" w:bidi="ar-SA"/>
              </w:rPr>
            </w:pPr>
            <w:r>
              <w:rPr>
                <w:rFonts w:hint="eastAsia" w:ascii="宋体" w:hAnsi="宋体" w:cs="宋体"/>
                <w:sz w:val="18"/>
                <w:szCs w:val="18"/>
                <w:lang w:eastAsia="zh-CN" w:bidi="ar-SA"/>
              </w:rPr>
              <w:t>支持终端用户安全防护功能，在交换机端口启用802.1X和WEB认证功能的前提下，支持认证端口配置IP地址过滤、ACL；支持认证通过后，自动进行IP+MAC+端口绑定或IP+MAC绑定</w:t>
            </w:r>
          </w:p>
          <w:p>
            <w:pPr>
              <w:numPr>
                <w:ilvl w:val="0"/>
                <w:numId w:val="6"/>
              </w:numPr>
              <w:tabs>
                <w:tab w:val="clear" w:pos="312"/>
              </w:tabs>
              <w:rPr>
                <w:rFonts w:ascii="宋体" w:hAnsi="宋体" w:cs="宋体"/>
                <w:sz w:val="18"/>
                <w:szCs w:val="18"/>
                <w:lang w:eastAsia="zh-CN" w:bidi="ar-SA"/>
              </w:rPr>
            </w:pPr>
            <w:r>
              <w:rPr>
                <w:rFonts w:hint="eastAsia" w:ascii="宋体" w:hAnsi="宋体" w:cs="宋体"/>
                <w:sz w:val="18"/>
                <w:szCs w:val="18"/>
                <w:lang w:eastAsia="zh-CN" w:bidi="ar-SA"/>
              </w:rPr>
              <w:t>支持认证通过后，防源IP地址欺骗功能；支持认证通过后，多播源IP/源端口检测，防止非法组播源；</w:t>
            </w:r>
          </w:p>
          <w:p>
            <w:pPr>
              <w:numPr>
                <w:ilvl w:val="0"/>
                <w:numId w:val="6"/>
              </w:numPr>
              <w:tabs>
                <w:tab w:val="clear" w:pos="312"/>
              </w:tabs>
              <w:rPr>
                <w:rFonts w:ascii="宋体" w:hAnsi="宋体" w:cs="宋体"/>
                <w:sz w:val="18"/>
                <w:szCs w:val="18"/>
                <w:lang w:eastAsia="zh-CN" w:bidi="ar-SA"/>
              </w:rPr>
            </w:pPr>
            <w:r>
              <w:rPr>
                <w:rFonts w:hint="eastAsia" w:ascii="宋体" w:hAnsi="宋体" w:cs="宋体"/>
                <w:sz w:val="18"/>
                <w:szCs w:val="18"/>
                <w:lang w:eastAsia="zh-CN" w:bidi="ar-SA"/>
              </w:rPr>
              <w:t>支持抗攻击功能，在交换机端口启用802.1X和WEB认证功能的前提下，支持DHCP抗攻击、ICMP抗攻击、防IP防扫描攻击等功能。支持手工隧道、ISATAP、GRE隧道，自动隧道 ；支持DHCP Client，DHCP Server，DHCP Relay，DHCP Snooping技术；支持BFD与RIP联动技术</w:t>
            </w:r>
          </w:p>
          <w:p>
            <w:pPr>
              <w:numPr>
                <w:ilvl w:val="0"/>
                <w:numId w:val="6"/>
              </w:numPr>
              <w:rPr>
                <w:rFonts w:ascii="宋体" w:hAnsi="宋体" w:cs="宋体"/>
                <w:sz w:val="18"/>
                <w:szCs w:val="18"/>
                <w:lang w:eastAsia="zh-CN" w:bidi="ar-SA"/>
              </w:rPr>
            </w:pPr>
            <w:r>
              <w:rPr>
                <w:rFonts w:hint="eastAsia" w:ascii="宋体" w:hAnsi="宋体" w:cs="宋体"/>
                <w:sz w:val="18"/>
                <w:szCs w:val="18"/>
                <w:lang w:eastAsia="zh-CN" w:bidi="ar-SA"/>
              </w:rPr>
              <w:t>满负荷情况下电源功率≤60W</w:t>
            </w:r>
            <w:r>
              <w:rPr>
                <w:rFonts w:hint="eastAsia" w:ascii="宋体" w:hAnsi="宋体" w:cs="宋体"/>
                <w:sz w:val="18"/>
                <w:szCs w:val="18"/>
                <w:lang w:eastAsia="zh-CN" w:bidi="ar-SA"/>
              </w:rPr>
              <w:br w:type="textWrapping"/>
            </w:r>
            <w:r>
              <w:rPr>
                <w:rFonts w:hint="eastAsia" w:ascii="宋体" w:hAnsi="宋体" w:cs="宋体"/>
                <w:sz w:val="18"/>
                <w:szCs w:val="18"/>
                <w:lang w:eastAsia="zh-CN" w:bidi="ar-SA"/>
              </w:rPr>
              <w:t>13.提供原厂制造厂商服务承诺函</w:t>
            </w:r>
          </w:p>
          <w:p>
            <w:pPr>
              <w:numPr>
                <w:ilvl w:val="0"/>
                <w:numId w:val="2"/>
              </w:numPr>
              <w:spacing w:line="390" w:lineRule="atLeast"/>
              <w:ind w:left="0"/>
              <w:rPr>
                <w:rFonts w:ascii="宋体" w:hAnsi="宋体" w:cs="宋体"/>
                <w:bCs/>
                <w:sz w:val="18"/>
                <w:szCs w:val="18"/>
                <w:lang w:eastAsia="zh-CN"/>
              </w:rPr>
            </w:pPr>
            <w:r>
              <w:rPr>
                <w:rFonts w:hint="eastAsia" w:ascii="宋体" w:hAnsi="宋体" w:cs="宋体"/>
                <w:sz w:val="18"/>
                <w:szCs w:val="18"/>
                <w:lang w:eastAsia="zh-CN" w:bidi="ar-SA"/>
              </w:rPr>
              <w:t>14.</w:t>
            </w:r>
            <w:r>
              <w:rPr>
                <w:rFonts w:hint="eastAsia" w:ascii="宋体" w:hAnsi="宋体" w:cs="宋体"/>
                <w:bCs/>
                <w:sz w:val="18"/>
                <w:szCs w:val="18"/>
                <w:lang w:eastAsia="zh-CN"/>
              </w:rPr>
              <w:t>成交后的第二个工作日现货供应，十个工作日必须完工，设备出现故障3个工作日仍无法处理，免费给单位提供同类型机器备用，机器整机厂家免费保修五年，现场电话查验，为了更好的兼容性该机器需与摄像机同一品牌，若有一项不符以上参数要求，用户方不予验收付款，</w:t>
            </w:r>
          </w:p>
          <w:p>
            <w:pPr>
              <w:ind w:firstLine="0"/>
              <w:rPr>
                <w:rFonts w:ascii="宋体" w:hAnsi="宋体" w:cs="宋体"/>
                <w:sz w:val="18"/>
                <w:szCs w:val="18"/>
                <w:lang w:eastAsia="zh-CN" w:bidi="ar-SA"/>
              </w:rPr>
            </w:pPr>
          </w:p>
          <w:p>
            <w:pPr>
              <w:ind w:firstLine="0"/>
              <w:rPr>
                <w:rFonts w:ascii="宋体" w:hAnsi="宋体" w:cs="宋体"/>
                <w:sz w:val="18"/>
                <w:szCs w:val="18"/>
                <w:lang w:eastAsia="zh-CN" w:bidi="ar-SA"/>
              </w:rPr>
            </w:pP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3000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3000</w:t>
            </w:r>
          </w:p>
        </w:tc>
      </w:tr>
      <w:tr>
        <w:tblPrEx>
          <w:tblLayout w:type="fixed"/>
          <w:tblCellMar>
            <w:top w:w="0" w:type="dxa"/>
            <w:left w:w="108" w:type="dxa"/>
            <w:bottom w:w="0" w:type="dxa"/>
            <w:right w:w="108" w:type="dxa"/>
          </w:tblCellMar>
        </w:tblPrEx>
        <w:trPr>
          <w:gridAfter w:val="1"/>
          <w:wAfter w:w="174" w:type="dxa"/>
          <w:trHeight w:val="81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5</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eastAsia="zh-CN" w:bidi="ar-SA"/>
              </w:rPr>
              <w:t>华三、</w:t>
            </w:r>
            <w:r>
              <w:rPr>
                <w:rFonts w:hint="eastAsia" w:ascii="宋体" w:hAnsi="宋体" w:cs="宋体"/>
                <w:color w:val="auto"/>
                <w:sz w:val="18"/>
                <w:szCs w:val="18"/>
                <w:lang w:val="en-US" w:eastAsia="zh-CN" w:bidi="ar-SA"/>
              </w:rPr>
              <w:t>H3C、TPlink</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8口交换机</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1.最大可用端口10个,包括:8个百兆电口，千兆电口1个，千兆光口2个；2.交换容量32Gbps，包转发率4.2Mpps；3.支持基于协议、基于端口的VLAN；4.支持端口镜像和流镜像，支持基于端口、VLAN的ACL；5.支持基于流的限速，支持Web管理；6.802.1x功能，支持IP+MAC的绑定；7.支持IGMP Snooping v1/v2/v3；8.MAC地址表大小16K；支持ERPS以太环保护协议（G.8032）；9.支持多种QoS优先级队列8个 ，可支持SP、WRR、SP+WRR队列调度机制</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550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5500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6</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摄像机电源</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交流输入范围85~264VAC或120~370VDC；浪涌电流：（MAX.）65（230VAC、冷机启动）；输出调整范围： -5%~10%额定输出电压±10%额定输出电压；过载保护：110%-135% 恒流限制、自动重启或锁定；过压保护：115%-140%额定输出电压，锁定；其它特点：纹波＜100mV,效率高达90%；耐压：I/P-O/P:3KVAC I/P-FG:1.5KVAC O/P-FG:0.5KVAC；工作温度： -40~+70℃, -40~+60℃ -40~+70℃；振动：10-500Hz,2G 10分钟/周期，X、Y、Z轴各60分钟；安全范围：UL60950-1,CB（IEC60950-1），CCC GB4943.1:2011；EMC标准：EN55022（CISPR22）Class B;EN61000-3-2-3;EN61000-4-2,3,4,5,6,8,11;EN6100-6-2重工业标准；保持时间（TY50mS/230VAC,30mS/115VAC；输入输出端子：5P/9.5mm栅栏式接线座7P/9.5mm栅</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195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195</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7</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球机支架</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吊装支架/铂金灰/铝合金/Φ116.5×200mm</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220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220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8</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枪机支架</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壁装支架/白/铝合金/尺寸70×97.1×181.8mm</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r>
              <w:rPr>
                <w:rFonts w:hint="eastAsia" w:ascii="宋体" w:hAnsi="宋体" w:cs="宋体"/>
                <w:i w:val="0"/>
                <w:color w:val="000000"/>
                <w:kern w:val="0"/>
                <w:sz w:val="24"/>
                <w:szCs w:val="24"/>
                <w:u w:val="none"/>
                <w:lang w:val="en-US" w:eastAsia="zh-CN" w:bidi="ar"/>
              </w:rPr>
              <w:t>5</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185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2775</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val="en-US" w:eastAsia="zh-CN" w:bidi="ar-SA"/>
              </w:rPr>
              <w:t>9</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大华、中兴、乔安</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摄像机电源盒</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450*380*170 不锈钢</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8</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315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2520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10</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电源线</w:t>
            </w:r>
          </w:p>
        </w:tc>
        <w:tc>
          <w:tcPr>
            <w:tcW w:w="4226" w:type="dxa"/>
            <w:gridSpan w:val="2"/>
            <w:tcBorders>
              <w:top w:val="nil"/>
              <w:left w:val="nil"/>
              <w:bottom w:val="single" w:color="auto" w:sz="4" w:space="0"/>
              <w:right w:val="nil"/>
            </w:tcBorders>
            <w:shd w:val="clear" w:color="auto" w:fill="auto"/>
            <w:vAlign w:val="center"/>
          </w:tcPr>
          <w:p>
            <w:pPr>
              <w:textAlignment w:val="center"/>
              <w:rPr>
                <w:rFonts w:ascii="宋体" w:hAnsi="宋体" w:cs="宋体"/>
                <w:sz w:val="18"/>
                <w:szCs w:val="18"/>
                <w:lang w:eastAsia="zh-CN" w:bidi="ar-SA"/>
              </w:rPr>
            </w:pPr>
            <w:r>
              <w:rPr>
                <w:rFonts w:hint="eastAsia" w:ascii="宋体" w:hAnsi="宋体" w:cs="宋体"/>
                <w:color w:val="000000"/>
                <w:sz w:val="18"/>
                <w:szCs w:val="18"/>
                <w:lang w:eastAsia="zh-CN"/>
              </w:rPr>
              <w:t>无氧铜丝导体，聚氯乙烯绝缘，聚氯乙烯护套。产品符合国家CCC标准。AC220VRVV3×1.5</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米</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800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4.5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3600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1</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电源线</w:t>
            </w:r>
          </w:p>
        </w:tc>
        <w:tc>
          <w:tcPr>
            <w:tcW w:w="4226" w:type="dxa"/>
            <w:gridSpan w:val="2"/>
            <w:tcBorders>
              <w:top w:val="nil"/>
              <w:left w:val="nil"/>
              <w:bottom w:val="single" w:color="auto" w:sz="4" w:space="0"/>
              <w:right w:val="nil"/>
            </w:tcBorders>
            <w:shd w:val="clear" w:color="auto" w:fill="auto"/>
            <w:vAlign w:val="center"/>
          </w:tcPr>
          <w:p>
            <w:pPr>
              <w:textAlignment w:val="center"/>
              <w:rPr>
                <w:rFonts w:ascii="宋体" w:hAnsi="宋体" w:cs="宋体"/>
                <w:color w:val="000000"/>
                <w:sz w:val="18"/>
                <w:szCs w:val="18"/>
                <w:lang w:eastAsia="zh-CN"/>
              </w:rPr>
            </w:pPr>
            <w:r>
              <w:rPr>
                <w:rFonts w:hint="eastAsia" w:ascii="宋体" w:hAnsi="宋体" w:cs="宋体"/>
                <w:color w:val="000000"/>
                <w:sz w:val="18"/>
                <w:szCs w:val="18"/>
                <w:lang w:eastAsia="zh-CN"/>
              </w:rPr>
              <w:t>无氧铜丝导体，聚氯乙烯绝缘，聚氯乙烯护套。产品符合国家CCC标准。AC220VRVV2×1.0</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米</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sz w:val="20"/>
                <w:szCs w:val="20"/>
                <w:lang w:val="en-US" w:eastAsia="zh-CN" w:bidi="ar-SA"/>
              </w:rPr>
              <w:t>1500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2.9</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4350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2</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数据线</w:t>
            </w:r>
          </w:p>
        </w:tc>
        <w:tc>
          <w:tcPr>
            <w:tcW w:w="4226" w:type="dxa"/>
            <w:gridSpan w:val="2"/>
            <w:tcBorders>
              <w:top w:val="nil"/>
              <w:left w:val="nil"/>
              <w:bottom w:val="single" w:color="auto" w:sz="4" w:space="0"/>
              <w:right w:val="single" w:color="auto" w:sz="4" w:space="0"/>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国产优质无氧纯铜六类网络线，无氧铜丝导体，陶氏3364聚乙烯绝缘，普立万色母，聚氯乙烯护套。产品符合YD/T1019-2001标准。</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箱</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4</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800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3200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3</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光纤配线架</w:t>
            </w:r>
          </w:p>
        </w:tc>
        <w:tc>
          <w:tcPr>
            <w:tcW w:w="4226" w:type="dxa"/>
            <w:gridSpan w:val="2"/>
            <w:tcBorders>
              <w:top w:val="nil"/>
              <w:left w:val="nil"/>
              <w:bottom w:val="single" w:color="auto" w:sz="4" w:space="0"/>
              <w:right w:val="single" w:color="auto" w:sz="4" w:space="0"/>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24口机架式，内配光缆固定装置、熔接盘、过线环。熔接盘采用叠加式结构，配置灵活；具有使光缆金属构作与终端盒壳体绝缘并能方便地引出接地的功能；3.能提供充足的光缆终端安放和余留光纤存储空间。</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520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520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4</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光缆熔接盒</w:t>
            </w:r>
          </w:p>
        </w:tc>
        <w:tc>
          <w:tcPr>
            <w:tcW w:w="4226" w:type="dxa"/>
            <w:gridSpan w:val="2"/>
            <w:tcBorders>
              <w:top w:val="nil"/>
              <w:left w:val="nil"/>
              <w:bottom w:val="single" w:color="auto" w:sz="4" w:space="0"/>
              <w:right w:val="single" w:color="auto" w:sz="4" w:space="0"/>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1.XJ GPJ01/4适用于各种光缆直通接头和分岐接头的保护，可地埋、架空、挂壁和管道铺设挂壁安装。  2.整套接头盒塑件采用科学配方的高强度PC工程塑料，有效地阻止大自然中冷、热、氧和紫外线引起的材料老化，并且具有优良的力学强度；3.坚固的光缆接头盒外壳及主体结构件，能起到阻燃、防水、防震作用，同时对光缆接头的拉伸、压扁、冲击、弯曲、扭曲、轴向压缩等起保护作用，并能在-40℃―+75℃自然环境下长期使用；4.用途：架空、地埋、挂壁和管道。</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10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80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800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5</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val="en-US" w:eastAsia="zh-CN" w:bidi="ar-SA"/>
              </w:rPr>
              <w:t>BKS、安普康、飞利浦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PVC管</w:t>
            </w:r>
          </w:p>
        </w:tc>
        <w:tc>
          <w:tcPr>
            <w:tcW w:w="4226" w:type="dxa"/>
            <w:gridSpan w:val="2"/>
            <w:tcBorders>
              <w:top w:val="nil"/>
              <w:left w:val="nil"/>
              <w:bottom w:val="single" w:color="auto" w:sz="4" w:space="0"/>
              <w:right w:val="nil"/>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20mm PVC管，难燃绝缘聚氯乙烯电线槽标准QB/T 1614-2000 ,DN25</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sz w:val="20"/>
                <w:szCs w:val="20"/>
                <w:lang w:eastAsia="zh-CN" w:bidi="ar-SA"/>
              </w:rPr>
              <w:t>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4000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4000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6</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尾纤</w:t>
            </w:r>
          </w:p>
        </w:tc>
        <w:tc>
          <w:tcPr>
            <w:tcW w:w="4226" w:type="dxa"/>
            <w:gridSpan w:val="2"/>
            <w:tcBorders>
              <w:top w:val="nil"/>
              <w:left w:val="nil"/>
              <w:bottom w:val="single" w:color="auto" w:sz="4" w:space="0"/>
              <w:right w:val="nil"/>
            </w:tcBorders>
            <w:shd w:val="clear" w:color="000000" w:fill="FFFFFF"/>
            <w:vAlign w:val="center"/>
          </w:tcPr>
          <w:p>
            <w:pPr>
              <w:textAlignment w:val="center"/>
              <w:rPr>
                <w:rFonts w:ascii="宋体" w:hAnsi="宋体" w:cs="宋体"/>
                <w:sz w:val="18"/>
                <w:szCs w:val="18"/>
                <w:lang w:eastAsia="zh-CN" w:bidi="ar-SA"/>
              </w:rPr>
            </w:pPr>
            <w:r>
              <w:rPr>
                <w:rFonts w:hint="eastAsia" w:ascii="宋体" w:hAnsi="宋体" w:cs="宋体"/>
                <w:color w:val="000000"/>
                <w:sz w:val="18"/>
                <w:szCs w:val="18"/>
                <w:lang w:eastAsia="zh-CN"/>
              </w:rPr>
              <w:t>FC/SM/1.5M</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25</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375</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1</w:t>
            </w:r>
            <w:r>
              <w:rPr>
                <w:rFonts w:hint="eastAsia" w:ascii="宋体" w:hAnsi="宋体" w:cs="宋体"/>
                <w:sz w:val="20"/>
                <w:szCs w:val="20"/>
                <w:lang w:val="en-US" w:eastAsia="zh-CN" w:bidi="ar-SA"/>
              </w:rPr>
              <w:t>7</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跳纤</w:t>
            </w:r>
          </w:p>
        </w:tc>
        <w:tc>
          <w:tcPr>
            <w:tcW w:w="4226" w:type="dxa"/>
            <w:gridSpan w:val="2"/>
            <w:tcBorders>
              <w:top w:val="nil"/>
              <w:left w:val="nil"/>
              <w:bottom w:val="single" w:color="auto" w:sz="4" w:space="0"/>
              <w:right w:val="nil"/>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FC/SM/3M</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15</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17</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255</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8</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光缆</w:t>
            </w:r>
          </w:p>
        </w:tc>
        <w:tc>
          <w:tcPr>
            <w:tcW w:w="4226" w:type="dxa"/>
            <w:gridSpan w:val="2"/>
            <w:tcBorders>
              <w:top w:val="nil"/>
              <w:left w:val="nil"/>
              <w:bottom w:val="single" w:color="auto" w:sz="4" w:space="0"/>
              <w:right w:val="single" w:color="auto" w:sz="4" w:space="0"/>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六芯铠装光纤</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val="en-US" w:eastAsia="zh-CN" w:bidi="ar-SA"/>
              </w:rPr>
            </w:pPr>
            <w:r>
              <w:rPr>
                <w:rFonts w:hint="eastAsia" w:ascii="宋体" w:hAnsi="宋体" w:cs="宋体"/>
                <w:color w:val="000000"/>
                <w:sz w:val="20"/>
                <w:szCs w:val="20"/>
                <w:lang w:eastAsia="zh-CN" w:bidi="ar-SA"/>
              </w:rPr>
              <w:t>米</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6000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4"/>
                <w:szCs w:val="24"/>
                <w:u w:val="none"/>
                <w:lang w:val="en-US" w:eastAsia="zh-CN" w:bidi="ar"/>
              </w:rPr>
              <w:t>4.5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27000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19</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光钎收发器</w:t>
            </w:r>
          </w:p>
        </w:tc>
        <w:tc>
          <w:tcPr>
            <w:tcW w:w="4226" w:type="dxa"/>
            <w:gridSpan w:val="2"/>
            <w:tcBorders>
              <w:top w:val="nil"/>
              <w:left w:val="nil"/>
              <w:bottom w:val="single" w:color="auto" w:sz="4" w:space="0"/>
              <w:right w:val="single" w:color="auto" w:sz="4" w:space="0"/>
            </w:tcBorders>
            <w:shd w:val="clear" w:color="000000" w:fill="FFFFFF"/>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符合IEEE802.3 10Base-T、100Base-TX、100Base-FX、1000Base标准；MDI/MDI-X自适应，10M/100M/100速率自适应；支持全/半双工自适应，点对点全透明传输；电源可选内置(-48VDC、220VAC)和外置（5VDC）</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10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525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5250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0</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eastAsia="zh-CN" w:bidi="ar-SA"/>
              </w:rPr>
              <w:t>恒星、图腾、图创</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机柜</w:t>
            </w:r>
          </w:p>
        </w:tc>
        <w:tc>
          <w:tcPr>
            <w:tcW w:w="4226" w:type="dxa"/>
            <w:gridSpan w:val="2"/>
            <w:tcBorders>
              <w:top w:val="nil"/>
              <w:left w:val="nil"/>
              <w:bottom w:val="single" w:color="auto" w:sz="4" w:space="0"/>
              <w:right w:val="single" w:color="auto" w:sz="4" w:space="0"/>
            </w:tcBorders>
            <w:shd w:val="clear" w:color="auto" w:fill="auto"/>
            <w:vAlign w:val="center"/>
          </w:tcPr>
          <w:p>
            <w:pPr>
              <w:ind w:firstLine="0"/>
              <w:rPr>
                <w:rFonts w:ascii="宋体" w:hAnsi="宋体" w:cs="宋体"/>
                <w:sz w:val="18"/>
                <w:szCs w:val="18"/>
                <w:lang w:eastAsia="zh-CN" w:bidi="ar-SA"/>
              </w:rPr>
            </w:pPr>
            <w:r>
              <w:rPr>
                <w:rFonts w:hint="eastAsia" w:ascii="宋体" w:hAnsi="宋体" w:cs="宋体"/>
                <w:sz w:val="18"/>
                <w:szCs w:val="18"/>
                <w:lang w:eastAsia="zh-CN" w:bidi="ar-SA"/>
              </w:rPr>
              <w:t>24U标准机柜，60×60×1200cm，自带4风扇散热装置，附带3个机架式电源插座，多功能插口6个</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1680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1680</w:t>
            </w:r>
          </w:p>
        </w:tc>
      </w:tr>
      <w:tr>
        <w:tblPrEx>
          <w:tblLayout w:type="fixed"/>
          <w:tblCellMar>
            <w:top w:w="0" w:type="dxa"/>
            <w:left w:w="108" w:type="dxa"/>
            <w:bottom w:w="0" w:type="dxa"/>
            <w:right w:w="108" w:type="dxa"/>
          </w:tblCellMar>
        </w:tblPrEx>
        <w:trPr>
          <w:gridAfter w:val="1"/>
          <w:wAfter w:w="174" w:type="dxa"/>
          <w:trHeight w:val="48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21</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希捷、西数、三星</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监控硬盘</w:t>
            </w:r>
          </w:p>
        </w:tc>
        <w:tc>
          <w:tcPr>
            <w:tcW w:w="4226" w:type="dxa"/>
            <w:gridSpan w:val="2"/>
            <w:tcBorders>
              <w:top w:val="nil"/>
              <w:left w:val="nil"/>
              <w:bottom w:val="single" w:color="auto" w:sz="4" w:space="0"/>
              <w:right w:val="nil"/>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接口类型 SATA 6 Gb/s；容量 4T；缓存 64MB</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块</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11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1180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12980</w:t>
            </w:r>
          </w:p>
        </w:tc>
      </w:tr>
      <w:tr>
        <w:tblPrEx>
          <w:tblLayout w:type="fixed"/>
          <w:tblCellMar>
            <w:top w:w="0" w:type="dxa"/>
            <w:left w:w="108" w:type="dxa"/>
            <w:bottom w:w="0" w:type="dxa"/>
            <w:right w:w="108" w:type="dxa"/>
          </w:tblCellMar>
        </w:tblPrEx>
        <w:trPr>
          <w:gridAfter w:val="1"/>
          <w:wAfter w:w="174" w:type="dxa"/>
          <w:trHeight w:val="48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22</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color w:val="auto"/>
                <w:sz w:val="18"/>
                <w:szCs w:val="18"/>
                <w:lang w:eastAsia="zh-CN" w:bidi="ar-SA"/>
              </w:rPr>
              <w:t>蓝克、创维、三星</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液晶监视器</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1、采用韩国进口全新原装</w:t>
            </w:r>
            <w:r>
              <w:rPr>
                <w:rFonts w:hint="eastAsia" w:ascii="宋体" w:hAnsi="宋体" w:cs="宋体"/>
                <w:sz w:val="18"/>
                <w:szCs w:val="18"/>
                <w:lang w:val="en-US" w:eastAsia="zh-CN" w:bidi="ar-SA"/>
              </w:rPr>
              <w:t>46</w:t>
            </w:r>
            <w:r>
              <w:rPr>
                <w:rFonts w:hint="eastAsia" w:ascii="宋体" w:hAnsi="宋体" w:cs="宋体"/>
                <w:sz w:val="18"/>
                <w:szCs w:val="18"/>
                <w:lang w:eastAsia="zh-CN" w:bidi="ar-SA"/>
              </w:rPr>
              <w:t>寸工业级DID面板</w:t>
            </w:r>
          </w:p>
          <w:p>
            <w:pPr>
              <w:ind w:firstLine="0"/>
              <w:rPr>
                <w:rFonts w:ascii="宋体" w:hAnsi="宋体" w:cs="宋体"/>
                <w:sz w:val="18"/>
                <w:szCs w:val="18"/>
                <w:lang w:eastAsia="zh-CN" w:bidi="ar-SA"/>
              </w:rPr>
            </w:pPr>
            <w:r>
              <w:rPr>
                <w:rFonts w:hint="eastAsia" w:ascii="宋体" w:hAnsi="宋体" w:cs="宋体"/>
                <w:sz w:val="18"/>
                <w:szCs w:val="18"/>
                <w:lang w:eastAsia="zh-CN" w:bidi="ar-SA"/>
              </w:rPr>
              <w:t>（1）拼接缝隙：物理拼接缝≤3.5mm（±0.2mm）</w:t>
            </w:r>
          </w:p>
          <w:p>
            <w:pPr>
              <w:ind w:firstLine="0"/>
              <w:rPr>
                <w:rFonts w:ascii="宋体" w:hAnsi="宋体" w:cs="宋体"/>
                <w:sz w:val="18"/>
                <w:szCs w:val="18"/>
                <w:lang w:eastAsia="zh-CN" w:bidi="ar-SA"/>
              </w:rPr>
            </w:pPr>
            <w:r>
              <w:rPr>
                <w:rFonts w:hint="eastAsia" w:ascii="宋体" w:hAnsi="宋体" w:cs="宋体"/>
                <w:sz w:val="18"/>
                <w:szCs w:val="18"/>
                <w:lang w:eastAsia="zh-CN" w:bidi="ar-SA"/>
              </w:rPr>
              <w:t>（2）屏幕比例：16:9；</w:t>
            </w:r>
          </w:p>
          <w:p>
            <w:pPr>
              <w:ind w:firstLine="0"/>
              <w:rPr>
                <w:rFonts w:ascii="宋体" w:hAnsi="宋体" w:cs="宋体"/>
                <w:sz w:val="18"/>
                <w:szCs w:val="18"/>
                <w:lang w:eastAsia="zh-CN" w:bidi="ar-SA"/>
              </w:rPr>
            </w:pPr>
            <w:r>
              <w:rPr>
                <w:rFonts w:hint="eastAsia" w:ascii="宋体" w:hAnsi="宋体" w:cs="宋体"/>
                <w:sz w:val="18"/>
                <w:szCs w:val="18"/>
                <w:lang w:eastAsia="zh-CN" w:bidi="ar-SA"/>
              </w:rPr>
              <w:t>（3）分辨率：1920×1080；</w:t>
            </w:r>
          </w:p>
          <w:p>
            <w:pPr>
              <w:ind w:firstLine="0"/>
              <w:rPr>
                <w:rFonts w:ascii="宋体" w:hAnsi="宋体" w:cs="宋体"/>
                <w:sz w:val="18"/>
                <w:szCs w:val="18"/>
                <w:lang w:eastAsia="zh-CN" w:bidi="ar-SA"/>
              </w:rPr>
            </w:pPr>
            <w:r>
              <w:rPr>
                <w:rFonts w:hint="eastAsia" w:ascii="宋体" w:hAnsi="宋体" w:cs="宋体"/>
                <w:sz w:val="18"/>
                <w:szCs w:val="18"/>
                <w:lang w:eastAsia="zh-CN" w:bidi="ar-SA"/>
              </w:rPr>
              <w:t>（4）标准颜色：16.7M</w:t>
            </w:r>
          </w:p>
          <w:p>
            <w:pPr>
              <w:ind w:firstLine="0"/>
              <w:rPr>
                <w:rFonts w:ascii="宋体" w:hAnsi="宋体" w:cs="宋体"/>
                <w:sz w:val="18"/>
                <w:szCs w:val="18"/>
                <w:lang w:eastAsia="zh-CN" w:bidi="ar-SA"/>
              </w:rPr>
            </w:pPr>
            <w:r>
              <w:rPr>
                <w:rFonts w:hint="eastAsia" w:ascii="宋体" w:hAnsi="宋体" w:cs="宋体"/>
                <w:sz w:val="18"/>
                <w:szCs w:val="18"/>
                <w:lang w:eastAsia="zh-CN" w:bidi="ar-SA"/>
              </w:rPr>
              <w:t>（5）单屏尺寸</w:t>
            </w:r>
            <w:r>
              <w:rPr>
                <w:rFonts w:hint="eastAsia" w:ascii="宋体" w:hAnsi="宋体" w:cs="宋体"/>
                <w:sz w:val="18"/>
                <w:szCs w:val="18"/>
                <w:lang w:val="en-US" w:eastAsia="zh-CN" w:bidi="ar-SA"/>
              </w:rPr>
              <w:t>1022</w:t>
            </w:r>
            <w:r>
              <w:rPr>
                <w:rFonts w:hint="eastAsia" w:ascii="宋体" w:hAnsi="宋体" w:cs="宋体"/>
                <w:sz w:val="18"/>
                <w:szCs w:val="18"/>
                <w:lang w:eastAsia="zh-CN" w:bidi="ar-SA"/>
              </w:rPr>
              <w:t>(W)×</w:t>
            </w:r>
            <w:r>
              <w:rPr>
                <w:rFonts w:hint="eastAsia" w:ascii="宋体" w:hAnsi="宋体" w:cs="宋体"/>
                <w:sz w:val="18"/>
                <w:szCs w:val="18"/>
                <w:lang w:val="en-US" w:eastAsia="zh-CN" w:bidi="ar-SA"/>
              </w:rPr>
              <w:t>576.6</w:t>
            </w:r>
            <w:r>
              <w:rPr>
                <w:rFonts w:hint="eastAsia" w:ascii="宋体" w:hAnsi="宋体" w:cs="宋体"/>
                <w:sz w:val="18"/>
                <w:szCs w:val="18"/>
                <w:lang w:eastAsia="zh-CN" w:bidi="ar-SA"/>
              </w:rPr>
              <w:t>(H)；</w:t>
            </w:r>
          </w:p>
          <w:p>
            <w:pPr>
              <w:ind w:firstLine="0"/>
              <w:rPr>
                <w:rFonts w:ascii="宋体" w:hAnsi="宋体" w:cs="宋体"/>
                <w:sz w:val="18"/>
                <w:szCs w:val="18"/>
                <w:lang w:eastAsia="zh-CN" w:bidi="ar-SA"/>
              </w:rPr>
            </w:pPr>
            <w:r>
              <w:rPr>
                <w:rFonts w:hint="eastAsia" w:ascii="宋体" w:hAnsi="宋体" w:cs="宋体"/>
                <w:sz w:val="18"/>
                <w:szCs w:val="18"/>
                <w:lang w:eastAsia="zh-CN" w:bidi="ar-SA"/>
              </w:rPr>
              <w:t>（6）单屏显示尺寸：</w:t>
            </w:r>
            <w:r>
              <w:rPr>
                <w:rFonts w:hint="eastAsia" w:ascii="宋体" w:hAnsi="宋体" w:cs="宋体"/>
                <w:sz w:val="18"/>
                <w:szCs w:val="18"/>
                <w:lang w:val="en-US" w:eastAsia="zh-CN" w:bidi="ar-SA"/>
              </w:rPr>
              <w:t>1018.8</w:t>
            </w:r>
            <w:r>
              <w:rPr>
                <w:rFonts w:hint="eastAsia" w:ascii="宋体" w:hAnsi="宋体" w:cs="宋体"/>
                <w:sz w:val="18"/>
                <w:szCs w:val="18"/>
                <w:lang w:eastAsia="zh-CN" w:bidi="ar-SA"/>
              </w:rPr>
              <w:t>(H)×</w:t>
            </w:r>
            <w:r>
              <w:rPr>
                <w:rFonts w:hint="eastAsia" w:ascii="宋体" w:hAnsi="宋体" w:cs="宋体"/>
                <w:sz w:val="18"/>
                <w:szCs w:val="18"/>
                <w:lang w:val="en-US" w:eastAsia="zh-CN" w:bidi="ar-SA"/>
              </w:rPr>
              <w:t>572.87</w:t>
            </w:r>
            <w:r>
              <w:rPr>
                <w:rFonts w:hint="eastAsia" w:ascii="宋体" w:hAnsi="宋体" w:cs="宋体"/>
                <w:sz w:val="18"/>
                <w:szCs w:val="18"/>
                <w:lang w:eastAsia="zh-CN" w:bidi="ar-SA"/>
              </w:rPr>
              <w:t>(V) mm；</w:t>
            </w:r>
          </w:p>
          <w:p>
            <w:pPr>
              <w:ind w:firstLine="0"/>
              <w:rPr>
                <w:rFonts w:ascii="宋体" w:hAnsi="宋体" w:cs="宋体"/>
                <w:sz w:val="18"/>
                <w:szCs w:val="18"/>
                <w:lang w:eastAsia="zh-CN" w:bidi="ar-SA"/>
              </w:rPr>
            </w:pPr>
            <w:r>
              <w:rPr>
                <w:rFonts w:hint="eastAsia" w:ascii="宋体" w:hAnsi="宋体" w:cs="宋体"/>
                <w:sz w:val="18"/>
                <w:szCs w:val="18"/>
                <w:lang w:eastAsia="zh-CN" w:bidi="ar-SA"/>
              </w:rPr>
              <w:t>（7）亮度：500cd/m2；</w:t>
            </w:r>
          </w:p>
          <w:p>
            <w:pPr>
              <w:ind w:firstLine="0"/>
              <w:rPr>
                <w:rFonts w:ascii="宋体" w:hAnsi="宋体" w:cs="宋体"/>
                <w:sz w:val="18"/>
                <w:szCs w:val="18"/>
                <w:lang w:eastAsia="zh-CN" w:bidi="ar-SA"/>
              </w:rPr>
            </w:pPr>
            <w:r>
              <w:rPr>
                <w:rFonts w:hint="eastAsia" w:ascii="宋体" w:hAnsi="宋体" w:cs="宋体"/>
                <w:sz w:val="18"/>
                <w:szCs w:val="18"/>
                <w:lang w:eastAsia="zh-CN" w:bidi="ar-SA"/>
              </w:rPr>
              <w:t>（8）对比度：</w:t>
            </w:r>
            <w:r>
              <w:rPr>
                <w:rFonts w:hint="eastAsia" w:ascii="宋体" w:hAnsi="宋体" w:cs="宋体"/>
                <w:sz w:val="18"/>
                <w:szCs w:val="18"/>
                <w:lang w:val="en-US" w:eastAsia="zh-CN" w:bidi="ar-SA"/>
              </w:rPr>
              <w:t>4</w:t>
            </w:r>
            <w:r>
              <w:rPr>
                <w:rFonts w:hint="eastAsia" w:ascii="宋体" w:hAnsi="宋体" w:cs="宋体"/>
                <w:sz w:val="18"/>
                <w:szCs w:val="18"/>
                <w:lang w:eastAsia="zh-CN" w:bidi="ar-SA"/>
              </w:rPr>
              <w:t>000:1；</w:t>
            </w:r>
          </w:p>
          <w:p>
            <w:pPr>
              <w:ind w:firstLine="0"/>
              <w:rPr>
                <w:rFonts w:ascii="宋体" w:hAnsi="宋体" w:cs="宋体"/>
                <w:sz w:val="18"/>
                <w:szCs w:val="18"/>
                <w:lang w:eastAsia="zh-CN" w:bidi="ar-SA"/>
              </w:rPr>
            </w:pPr>
            <w:r>
              <w:rPr>
                <w:rFonts w:hint="eastAsia" w:ascii="宋体" w:hAnsi="宋体" w:cs="宋体"/>
                <w:sz w:val="18"/>
                <w:szCs w:val="18"/>
                <w:lang w:eastAsia="zh-CN" w:bidi="ar-SA"/>
              </w:rPr>
              <w:t>（9）响应时间：8ms；</w:t>
            </w:r>
          </w:p>
          <w:p>
            <w:pPr>
              <w:ind w:firstLine="0"/>
              <w:rPr>
                <w:rFonts w:ascii="宋体" w:hAnsi="宋体" w:cs="宋体"/>
                <w:sz w:val="18"/>
                <w:szCs w:val="18"/>
                <w:lang w:eastAsia="zh-CN" w:bidi="ar-SA"/>
              </w:rPr>
            </w:pPr>
            <w:r>
              <w:rPr>
                <w:rFonts w:hint="eastAsia" w:ascii="宋体" w:hAnsi="宋体" w:cs="宋体"/>
                <w:sz w:val="18"/>
                <w:szCs w:val="18"/>
                <w:lang w:eastAsia="zh-CN" w:bidi="ar-SA"/>
              </w:rPr>
              <w:t>（10）可视角度：178°；</w:t>
            </w:r>
          </w:p>
          <w:p>
            <w:pPr>
              <w:ind w:firstLine="0"/>
              <w:rPr>
                <w:rFonts w:ascii="宋体" w:hAnsi="宋体" w:cs="宋体"/>
                <w:sz w:val="18"/>
                <w:szCs w:val="18"/>
                <w:lang w:eastAsia="zh-CN" w:bidi="ar-SA"/>
              </w:rPr>
            </w:pPr>
            <w:r>
              <w:rPr>
                <w:rFonts w:hint="eastAsia" w:ascii="宋体" w:hAnsi="宋体" w:cs="宋体"/>
                <w:sz w:val="18"/>
                <w:szCs w:val="18"/>
                <w:lang w:eastAsia="zh-CN" w:bidi="ar-SA"/>
              </w:rPr>
              <w:t>（11）支持365（天）×24（小时）不间断工工作寿命≥60000小时。</w:t>
            </w:r>
          </w:p>
          <w:p>
            <w:pPr>
              <w:ind w:firstLine="0"/>
              <w:rPr>
                <w:rFonts w:ascii="宋体" w:hAnsi="宋体" w:cs="宋体"/>
                <w:sz w:val="18"/>
                <w:szCs w:val="18"/>
                <w:lang w:eastAsia="zh-CN" w:bidi="ar-SA"/>
              </w:rPr>
            </w:pPr>
            <w:r>
              <w:rPr>
                <w:rFonts w:hint="eastAsia" w:ascii="宋体" w:hAnsi="宋体" w:cs="宋体"/>
                <w:sz w:val="18"/>
                <w:szCs w:val="18"/>
                <w:lang w:eastAsia="zh-CN" w:bidi="ar-SA"/>
              </w:rPr>
              <w:t>2、接口：HDMI、DVI、VGA、BNC、USB；信号格式：NTSC、PAL、480i、576i、720i、720P、1080i、1080P。</w:t>
            </w:r>
          </w:p>
          <w:p>
            <w:pPr>
              <w:ind w:firstLine="0"/>
              <w:rPr>
                <w:rFonts w:ascii="宋体" w:hAnsi="宋体" w:cs="宋体"/>
                <w:sz w:val="18"/>
                <w:szCs w:val="18"/>
                <w:lang w:eastAsia="zh-CN" w:bidi="ar-SA"/>
              </w:rPr>
            </w:pPr>
            <w:r>
              <w:rPr>
                <w:rFonts w:hint="eastAsia" w:ascii="宋体" w:hAnsi="宋体" w:cs="宋体"/>
                <w:sz w:val="18"/>
                <w:szCs w:val="18"/>
                <w:lang w:eastAsia="zh-CN" w:bidi="ar-SA"/>
              </w:rPr>
              <w:t>3、首家独创“抗锯齿流处理技术”，可使低像素图像在全高清显示屏中清晰再现；去隔行处理技术，消除闪烁；去交错算法，消除“锯齿”；动态插值补偿、3D动态数字降噪、3D梳状滤波、10位数字亮度及色彩增强、自动肤色校正、3D运动补偿、非线性缩放等多种国际领先处理技术；图像边框可选补偿或遮盖，全高清信号实时处理。</w:t>
            </w:r>
          </w:p>
          <w:p>
            <w:pPr>
              <w:ind w:firstLine="0"/>
              <w:rPr>
                <w:rFonts w:ascii="宋体" w:hAnsi="宋体" w:cs="宋体"/>
                <w:sz w:val="18"/>
                <w:szCs w:val="18"/>
                <w:lang w:eastAsia="zh-CN" w:bidi="ar-SA"/>
              </w:rPr>
            </w:pPr>
            <w:r>
              <w:rPr>
                <w:rFonts w:hint="eastAsia" w:ascii="宋体" w:hAnsi="宋体" w:cs="宋体"/>
                <w:sz w:val="18"/>
                <w:szCs w:val="18"/>
                <w:lang w:eastAsia="zh-CN" w:bidi="ar-SA"/>
              </w:rPr>
              <w:t>4、散热外壳。</w:t>
            </w:r>
          </w:p>
          <w:p>
            <w:pPr>
              <w:ind w:firstLine="0"/>
              <w:rPr>
                <w:rFonts w:ascii="宋体" w:hAnsi="宋体" w:cs="宋体"/>
                <w:sz w:val="18"/>
                <w:szCs w:val="18"/>
                <w:lang w:eastAsia="zh-CN" w:bidi="ar-SA"/>
              </w:rPr>
            </w:pPr>
            <w:r>
              <w:rPr>
                <w:rFonts w:hint="eastAsia" w:ascii="宋体" w:hAnsi="宋体" w:cs="宋体"/>
                <w:sz w:val="18"/>
                <w:szCs w:val="18"/>
                <w:lang w:eastAsia="zh-CN" w:bidi="ar-SA"/>
              </w:rPr>
              <w:t>5、工作温度0-40摄氏度；工作湿度15-75%；单屏平均功耗180W。</w:t>
            </w:r>
          </w:p>
          <w:p>
            <w:pPr>
              <w:ind w:firstLine="0"/>
              <w:rPr>
                <w:rFonts w:ascii="宋体" w:hAnsi="宋体" w:cs="宋体"/>
                <w:sz w:val="18"/>
                <w:szCs w:val="18"/>
                <w:lang w:eastAsia="zh-CN" w:bidi="ar-SA"/>
              </w:rPr>
            </w:pPr>
            <w:r>
              <w:rPr>
                <w:rFonts w:hint="eastAsia" w:ascii="宋体" w:hAnsi="宋体" w:cs="宋体"/>
                <w:sz w:val="18"/>
                <w:szCs w:val="18"/>
                <w:lang w:eastAsia="zh-CN" w:bidi="ar-SA"/>
              </w:rPr>
              <w:t>6、产品通过国家3C认证及ISO9001-2008质量管理体系认证。</w:t>
            </w:r>
          </w:p>
          <w:p>
            <w:pPr>
              <w:ind w:firstLine="0"/>
              <w:rPr>
                <w:rFonts w:ascii="宋体" w:hAnsi="宋体" w:cs="宋体"/>
                <w:sz w:val="18"/>
                <w:szCs w:val="18"/>
                <w:lang w:eastAsia="zh-CN" w:bidi="ar-SA"/>
              </w:rPr>
            </w:pPr>
            <w:r>
              <w:rPr>
                <w:rFonts w:hint="eastAsia" w:ascii="宋体" w:hAnsi="宋体" w:cs="宋体"/>
                <w:sz w:val="18"/>
                <w:szCs w:val="18"/>
                <w:lang w:eastAsia="zh-CN" w:bidi="ar-SA"/>
              </w:rPr>
              <w:t>7、配件质保期为3年，屏体质保期为1年，终身维护。</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val="en-US" w:eastAsia="zh-CN" w:bidi="ar-SA"/>
              </w:rPr>
            </w:pPr>
            <w:r>
              <w:rPr>
                <w:rFonts w:hint="eastAsia" w:ascii="宋体" w:hAnsi="宋体" w:cs="宋体"/>
                <w:color w:val="000000"/>
                <w:sz w:val="20"/>
                <w:szCs w:val="20"/>
                <w:lang w:eastAsia="zh-CN" w:bidi="ar-SA"/>
              </w:rPr>
              <w:t>块</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4</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8000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32000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23</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hint="eastAsia" w:ascii="宋体" w:hAnsi="宋体" w:cs="宋体"/>
                <w:color w:val="auto"/>
                <w:sz w:val="18"/>
                <w:szCs w:val="18"/>
                <w:lang w:eastAsia="zh-CN" w:bidi="ar-SA"/>
              </w:rPr>
            </w:pPr>
            <w:r>
              <w:rPr>
                <w:rFonts w:hint="eastAsia" w:ascii="宋体" w:hAnsi="宋体" w:cs="宋体"/>
                <w:color w:val="auto"/>
                <w:sz w:val="18"/>
                <w:szCs w:val="18"/>
                <w:lang w:eastAsia="zh-CN" w:bidi="ar-SA"/>
              </w:rPr>
              <w:t>蓝克、创维、三星</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HDMI分配器</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楷体"/>
                <w:b/>
                <w:sz w:val="18"/>
                <w:szCs w:val="18"/>
                <w:lang w:eastAsia="zh-CN"/>
              </w:rPr>
              <w:t>工业级高清HDMI分配器，整屏拼接功能</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1600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1600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4</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hint="eastAsia" w:ascii="宋体" w:hAnsi="宋体" w:cs="宋体"/>
                <w:color w:val="auto"/>
                <w:sz w:val="18"/>
                <w:szCs w:val="18"/>
                <w:lang w:eastAsia="zh-CN"/>
              </w:rPr>
            </w:pPr>
            <w:r>
              <w:rPr>
                <w:rFonts w:hint="eastAsia" w:ascii="宋体" w:hAnsi="宋体" w:cs="宋体"/>
                <w:color w:val="auto"/>
                <w:sz w:val="18"/>
                <w:szCs w:val="18"/>
                <w:lang w:eastAsia="zh-CN" w:bidi="ar-SA"/>
              </w:rPr>
              <w:t>蓝克、创维、三星</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ascii="宋体" w:hAnsi="宋体" w:cs="宋体"/>
                <w:color w:val="auto"/>
                <w:sz w:val="18"/>
                <w:szCs w:val="18"/>
                <w:lang w:eastAsia="zh-CN"/>
              </w:rPr>
            </w:pPr>
            <w:r>
              <w:rPr>
                <w:rFonts w:hint="eastAsia" w:ascii="宋体" w:hAnsi="宋体" w:cs="宋体"/>
                <w:color w:val="auto"/>
                <w:sz w:val="18"/>
                <w:szCs w:val="18"/>
                <w:lang w:eastAsia="zh-CN"/>
              </w:rPr>
              <w:t>电源线</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RS232网线及电源线</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val="en-US" w:eastAsia="zh-CN" w:bidi="ar-SA"/>
              </w:rPr>
            </w:pPr>
            <w:r>
              <w:rPr>
                <w:rFonts w:hint="eastAsia" w:ascii="宋体" w:hAnsi="宋体" w:cs="宋体"/>
                <w:sz w:val="20"/>
                <w:szCs w:val="20"/>
                <w:lang w:val="en-US" w:eastAsia="zh-CN" w:bidi="ar-SA"/>
              </w:rPr>
              <w:t>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500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5</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hint="eastAsia" w:ascii="宋体" w:hAnsi="宋体" w:cs="宋体"/>
                <w:color w:val="auto"/>
                <w:sz w:val="18"/>
                <w:szCs w:val="18"/>
                <w:lang w:eastAsia="zh-CN"/>
              </w:rPr>
            </w:pPr>
            <w:r>
              <w:rPr>
                <w:rFonts w:hint="eastAsia" w:ascii="宋体" w:hAnsi="宋体" w:cs="宋体"/>
                <w:color w:val="auto"/>
                <w:sz w:val="18"/>
                <w:szCs w:val="18"/>
                <w:lang w:eastAsia="zh-CN" w:bidi="ar-SA"/>
              </w:rPr>
              <w:t>蓝克、创维、三星</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ascii="宋体" w:hAnsi="宋体" w:cs="宋体"/>
                <w:color w:val="auto"/>
                <w:sz w:val="18"/>
                <w:szCs w:val="18"/>
                <w:lang w:eastAsia="zh-CN"/>
              </w:rPr>
            </w:pPr>
            <w:r>
              <w:rPr>
                <w:rFonts w:hint="eastAsia" w:ascii="宋体" w:hAnsi="宋体" w:cs="宋体"/>
                <w:color w:val="auto"/>
                <w:sz w:val="18"/>
                <w:szCs w:val="18"/>
                <w:lang w:eastAsia="zh-CN"/>
              </w:rPr>
              <w:t>工程线缆</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根据设备到大屏的距离定制，纯铜线芯，端子镀铜（3M-5M )</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套</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1800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1800</w:t>
            </w:r>
          </w:p>
        </w:tc>
      </w:tr>
      <w:tr>
        <w:tblPrEx>
          <w:tblLayout w:type="fixed"/>
          <w:tblCellMar>
            <w:top w:w="0" w:type="dxa"/>
            <w:left w:w="108" w:type="dxa"/>
            <w:bottom w:w="0" w:type="dxa"/>
            <w:right w:w="108" w:type="dxa"/>
          </w:tblCellMar>
        </w:tblPrEx>
        <w:trPr>
          <w:gridAfter w:val="1"/>
          <w:wAfter w:w="174" w:type="dxa"/>
          <w:trHeight w:val="756"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6</w:t>
            </w: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auto"/>
                <w:sz w:val="18"/>
                <w:szCs w:val="18"/>
                <w:lang w:eastAsia="zh-CN"/>
              </w:rPr>
            </w:pPr>
            <w:r>
              <w:rPr>
                <w:rFonts w:hint="eastAsia" w:ascii="宋体" w:hAnsi="宋体" w:cs="宋体"/>
                <w:color w:val="auto"/>
                <w:sz w:val="18"/>
                <w:szCs w:val="18"/>
                <w:lang w:eastAsia="zh-CN" w:bidi="ar-SA"/>
              </w:rPr>
              <w:t>蓝克、创维、三星</w:t>
            </w: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ascii="宋体" w:hAnsi="宋体" w:cs="宋体"/>
                <w:color w:val="auto"/>
                <w:sz w:val="18"/>
                <w:szCs w:val="18"/>
                <w:lang w:eastAsia="zh-CN"/>
              </w:rPr>
            </w:pPr>
            <w:r>
              <w:rPr>
                <w:rFonts w:hint="eastAsia" w:ascii="宋体" w:hAnsi="宋体" w:cs="宋体"/>
                <w:color w:val="auto"/>
                <w:sz w:val="18"/>
                <w:szCs w:val="18"/>
                <w:lang w:eastAsia="zh-CN"/>
              </w:rPr>
              <w:t>监视器支架</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采用欧标3838铝型材支架，挂墙式安装，带调整挂钩</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套</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3500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3500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2</w:t>
            </w:r>
            <w:r>
              <w:rPr>
                <w:rFonts w:hint="eastAsia" w:ascii="宋体" w:hAnsi="宋体" w:cs="宋体"/>
                <w:sz w:val="20"/>
                <w:szCs w:val="20"/>
                <w:lang w:val="en-US" w:eastAsia="zh-CN" w:bidi="ar-SA"/>
              </w:rPr>
              <w:t>7</w:t>
            </w:r>
          </w:p>
        </w:tc>
        <w:tc>
          <w:tcPr>
            <w:tcW w:w="635" w:type="dxa"/>
            <w:tcBorders>
              <w:top w:val="nil"/>
              <w:left w:val="nil"/>
              <w:bottom w:val="single" w:color="auto" w:sz="4" w:space="0"/>
              <w:right w:val="single" w:color="auto" w:sz="4" w:space="0"/>
            </w:tcBorders>
            <w:shd w:val="clear" w:color="auto" w:fill="auto"/>
            <w:vAlign w:val="center"/>
          </w:tcPr>
          <w:p>
            <w:pPr>
              <w:jc w:val="both"/>
              <w:textAlignment w:val="center"/>
              <w:rPr>
                <w:rFonts w:hint="eastAsia" w:ascii="宋体" w:hAnsi="宋体" w:cs="宋体"/>
                <w:color w:val="auto"/>
                <w:sz w:val="18"/>
                <w:szCs w:val="18"/>
                <w:lang w:eastAsia="zh-CN"/>
              </w:rPr>
            </w:pPr>
          </w:p>
        </w:tc>
        <w:tc>
          <w:tcPr>
            <w:tcW w:w="635" w:type="dxa"/>
            <w:tcBorders>
              <w:top w:val="nil"/>
              <w:left w:val="nil"/>
              <w:bottom w:val="single" w:color="auto" w:sz="4" w:space="0"/>
              <w:right w:val="single" w:color="auto" w:sz="4" w:space="0"/>
            </w:tcBorders>
            <w:shd w:val="clear" w:color="auto" w:fill="auto"/>
            <w:vAlign w:val="center"/>
          </w:tcPr>
          <w:p>
            <w:pPr>
              <w:jc w:val="both"/>
              <w:textAlignment w:val="center"/>
              <w:rPr>
                <w:rFonts w:ascii="宋体" w:hAnsi="宋体" w:cs="宋体"/>
                <w:color w:val="auto"/>
                <w:sz w:val="18"/>
                <w:szCs w:val="18"/>
                <w:lang w:eastAsia="zh-CN"/>
              </w:rPr>
            </w:pPr>
            <w:r>
              <w:rPr>
                <w:rFonts w:hint="eastAsia" w:ascii="宋体" w:hAnsi="宋体" w:cs="宋体"/>
                <w:color w:val="auto"/>
                <w:sz w:val="18"/>
                <w:szCs w:val="18"/>
                <w:lang w:eastAsia="zh-CN"/>
              </w:rPr>
              <w:t>监视器安装调试费</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包含物流运输，保价费，木架费送货上门，含整个产品调试安装售后指导培训派遣1名工程师为期三天上门培训，包含超出部分的线材等。</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val="en-US" w:eastAsia="zh-CN" w:bidi="ar-SA"/>
              </w:rPr>
            </w:pPr>
            <w:r>
              <w:rPr>
                <w:rFonts w:hint="eastAsia" w:ascii="宋体" w:hAnsi="宋体" w:cs="宋体"/>
                <w:color w:val="000000"/>
                <w:sz w:val="20"/>
                <w:szCs w:val="20"/>
                <w:lang w:eastAsia="zh-CN" w:bidi="ar-SA"/>
              </w:rPr>
              <w:t>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5000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5000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28</w:t>
            </w: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cs="宋体"/>
                <w:color w:val="auto"/>
                <w:sz w:val="18"/>
                <w:szCs w:val="18"/>
                <w:lang w:eastAsia="zh-CN"/>
              </w:rPr>
            </w:pP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ascii="宋体" w:hAnsi="宋体" w:cs="宋体"/>
                <w:color w:val="auto"/>
                <w:sz w:val="18"/>
                <w:szCs w:val="18"/>
                <w:lang w:eastAsia="zh-CN"/>
              </w:rPr>
            </w:pPr>
            <w:r>
              <w:rPr>
                <w:rFonts w:hint="eastAsia" w:ascii="宋体" w:hAnsi="宋体" w:cs="宋体"/>
                <w:color w:val="auto"/>
                <w:sz w:val="18"/>
                <w:szCs w:val="18"/>
                <w:lang w:eastAsia="zh-CN"/>
              </w:rPr>
              <w:t>光纤施工费</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根据客户要求到指定地点施工作业，超出的</w:t>
            </w:r>
            <w:r>
              <w:rPr>
                <w:rFonts w:hint="eastAsia" w:ascii="宋体" w:hAnsi="宋体" w:cs="宋体"/>
                <w:color w:val="000000"/>
                <w:sz w:val="18"/>
                <w:szCs w:val="18"/>
                <w:lang w:eastAsia="zh-CN"/>
              </w:rPr>
              <w:t>光纤</w:t>
            </w:r>
            <w:r>
              <w:rPr>
                <w:rFonts w:hint="eastAsia" w:ascii="宋体" w:hAnsi="宋体" w:cs="宋体"/>
                <w:sz w:val="18"/>
                <w:szCs w:val="18"/>
                <w:lang w:eastAsia="zh-CN" w:bidi="ar-SA"/>
              </w:rPr>
              <w:t>由成交人自行承担</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米</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val="en-US" w:eastAsia="zh-CN" w:bidi="ar-SA"/>
              </w:rPr>
            </w:pPr>
            <w:r>
              <w:rPr>
                <w:rFonts w:hint="eastAsia" w:ascii="宋体" w:hAnsi="宋体" w:cs="宋体"/>
                <w:sz w:val="20"/>
                <w:szCs w:val="20"/>
                <w:lang w:val="en-US" w:eastAsia="zh-CN" w:bidi="ar-SA"/>
              </w:rPr>
              <w:t>6000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30000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val="en-US" w:eastAsia="zh-CN" w:bidi="ar-SA"/>
              </w:rPr>
            </w:pPr>
            <w:r>
              <w:rPr>
                <w:rFonts w:hint="eastAsia" w:ascii="宋体" w:hAnsi="宋体" w:cs="宋体"/>
                <w:sz w:val="20"/>
                <w:szCs w:val="20"/>
                <w:lang w:val="en-US" w:eastAsia="zh-CN" w:bidi="ar-SA"/>
              </w:rPr>
              <w:t>29</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hint="eastAsia" w:ascii="宋体" w:hAnsi="宋体" w:cs="宋体"/>
                <w:color w:val="auto"/>
                <w:sz w:val="18"/>
                <w:szCs w:val="18"/>
                <w:lang w:eastAsia="zh-CN"/>
              </w:rPr>
            </w:pPr>
            <w:r>
              <w:rPr>
                <w:rFonts w:hint="eastAsia" w:ascii="宋体" w:hAnsi="宋体" w:cs="宋体"/>
                <w:i w:val="0"/>
                <w:color w:val="000000"/>
                <w:kern w:val="0"/>
                <w:sz w:val="22"/>
                <w:szCs w:val="22"/>
                <w:u w:val="none"/>
                <w:lang w:val="en-US" w:eastAsia="zh-CN" w:bidi="ar"/>
              </w:rPr>
              <w:t>子弹头、公牛、优足</w:t>
            </w:r>
          </w:p>
        </w:tc>
        <w:tc>
          <w:tcPr>
            <w:tcW w:w="635" w:type="dxa"/>
            <w:tcBorders>
              <w:top w:val="nil"/>
              <w:left w:val="nil"/>
              <w:bottom w:val="single" w:color="auto" w:sz="4" w:space="0"/>
              <w:right w:val="single" w:color="auto" w:sz="4" w:space="0"/>
            </w:tcBorders>
            <w:shd w:val="clear" w:color="auto" w:fill="auto"/>
            <w:vAlign w:val="center"/>
          </w:tcPr>
          <w:p>
            <w:pPr>
              <w:ind w:firstLine="0"/>
              <w:jc w:val="both"/>
              <w:textAlignment w:val="center"/>
              <w:rPr>
                <w:rFonts w:ascii="宋体" w:hAnsi="宋体" w:cs="宋体"/>
                <w:color w:val="auto"/>
                <w:sz w:val="18"/>
                <w:szCs w:val="18"/>
                <w:lang w:eastAsia="zh-CN"/>
              </w:rPr>
            </w:pPr>
            <w:r>
              <w:rPr>
                <w:rFonts w:hint="eastAsia" w:ascii="宋体" w:hAnsi="宋体" w:cs="宋体"/>
                <w:color w:val="auto"/>
                <w:sz w:val="18"/>
                <w:szCs w:val="18"/>
                <w:lang w:eastAsia="zh-CN"/>
              </w:rPr>
              <w:t>防雷PDU</w:t>
            </w:r>
          </w:p>
        </w:tc>
        <w:tc>
          <w:tcPr>
            <w:tcW w:w="4226" w:type="dxa"/>
            <w:gridSpan w:val="2"/>
            <w:tcBorders>
              <w:top w:val="nil"/>
              <w:left w:val="nil"/>
              <w:bottom w:val="single" w:color="auto" w:sz="4" w:space="0"/>
              <w:right w:val="single" w:color="auto" w:sz="4" w:space="0"/>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shd w:val="clear" w:color="auto" w:fill="FFFFFF"/>
                <w:lang w:eastAsia="zh-CN"/>
              </w:rPr>
              <w:t>额定输入电压220V，输入功率2200W，最大输入电流10A，输出插座规格10A万用孔，输出插座规格：10A万用孔，进线电线规格：RVV 3G1.5mm2，输出插座数量：8孔，进线电缆长度：2米</w:t>
            </w:r>
          </w:p>
        </w:tc>
        <w:tc>
          <w:tcPr>
            <w:tcW w:w="599" w:type="dxa"/>
            <w:tcBorders>
              <w:top w:val="nil"/>
              <w:left w:val="nil"/>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245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245</w:t>
            </w:r>
          </w:p>
        </w:tc>
      </w:tr>
      <w:tr>
        <w:tblPrEx>
          <w:tblLayout w:type="fixed"/>
          <w:tblCellMar>
            <w:top w:w="0" w:type="dxa"/>
            <w:left w:w="108" w:type="dxa"/>
            <w:bottom w:w="0" w:type="dxa"/>
            <w:right w:w="108" w:type="dxa"/>
          </w:tblCellMar>
        </w:tblPrEx>
        <w:trPr>
          <w:gridAfter w:val="1"/>
          <w:wAfter w:w="174" w:type="dxa"/>
          <w:trHeight w:val="97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3</w:t>
            </w:r>
            <w:r>
              <w:rPr>
                <w:rFonts w:hint="eastAsia" w:ascii="宋体" w:hAnsi="宋体" w:cs="宋体"/>
                <w:sz w:val="20"/>
                <w:szCs w:val="20"/>
                <w:lang w:val="en-US" w:eastAsia="zh-CN" w:bidi="ar-SA"/>
              </w:rPr>
              <w:t>0</w:t>
            </w: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hint="eastAsia" w:ascii="宋体" w:hAnsi="宋体"/>
                <w:color w:val="auto"/>
                <w:sz w:val="18"/>
                <w:szCs w:val="18"/>
              </w:rPr>
            </w:pPr>
            <w:r>
              <w:rPr>
                <w:rFonts w:hint="eastAsia" w:ascii="宋体" w:hAnsi="宋体" w:cs="宋体"/>
                <w:i w:val="0"/>
                <w:color w:val="000000"/>
                <w:kern w:val="0"/>
                <w:sz w:val="22"/>
                <w:szCs w:val="22"/>
                <w:u w:val="none"/>
                <w:lang w:val="en-US" w:eastAsia="zh-CN" w:bidi="ar"/>
              </w:rPr>
              <w:t>子弹头、公牛、优足</w:t>
            </w:r>
          </w:p>
        </w:tc>
        <w:tc>
          <w:tcPr>
            <w:tcW w:w="635" w:type="dxa"/>
            <w:tcBorders>
              <w:top w:val="nil"/>
              <w:left w:val="nil"/>
              <w:bottom w:val="single" w:color="auto" w:sz="4" w:space="0"/>
              <w:right w:val="single" w:color="auto" w:sz="4" w:space="0"/>
            </w:tcBorders>
            <w:shd w:val="clear" w:color="auto" w:fill="auto"/>
            <w:vAlign w:val="center"/>
          </w:tcPr>
          <w:p>
            <w:pPr>
              <w:jc w:val="center"/>
              <w:textAlignment w:val="center"/>
              <w:rPr>
                <w:rFonts w:ascii="宋体" w:hAnsi="宋体" w:cs="宋体"/>
                <w:color w:val="auto"/>
                <w:sz w:val="18"/>
                <w:szCs w:val="18"/>
                <w:lang w:eastAsia="zh-CN" w:bidi="ar-SA"/>
              </w:rPr>
            </w:pPr>
            <w:r>
              <w:rPr>
                <w:rFonts w:hint="eastAsia" w:ascii="宋体" w:hAnsi="宋体"/>
                <w:color w:val="auto"/>
                <w:sz w:val="18"/>
                <w:szCs w:val="18"/>
              </w:rPr>
              <w:t>电源防雷器</w:t>
            </w:r>
          </w:p>
        </w:tc>
        <w:tc>
          <w:tcPr>
            <w:tcW w:w="4226" w:type="dxa"/>
            <w:gridSpan w:val="2"/>
            <w:tcBorders>
              <w:top w:val="nil"/>
              <w:left w:val="nil"/>
              <w:bottom w:val="single" w:color="auto" w:sz="4" w:space="0"/>
              <w:right w:val="nil"/>
            </w:tcBorders>
            <w:shd w:val="clear" w:color="auto" w:fill="auto"/>
            <w:vAlign w:val="bottom"/>
          </w:tcPr>
          <w:p>
            <w:pPr>
              <w:ind w:firstLine="0"/>
              <w:rPr>
                <w:rFonts w:ascii="宋体" w:hAnsi="宋体" w:cs="宋体"/>
                <w:sz w:val="18"/>
                <w:szCs w:val="18"/>
                <w:lang w:eastAsia="zh-CN" w:bidi="ar-SA"/>
              </w:rPr>
            </w:pPr>
            <w:r>
              <w:rPr>
                <w:rFonts w:hint="eastAsia" w:ascii="宋体" w:hAnsi="宋体" w:cs="宋体"/>
                <w:bCs/>
                <w:sz w:val="18"/>
                <w:szCs w:val="18"/>
                <w:shd w:val="clear" w:color="auto" w:fill="FFFFFF"/>
                <w:lang w:eastAsia="zh-CN"/>
              </w:rPr>
              <w:t>设备类型：二级电源防雷器，最大放电电流：Imax=40kA；In=20kA，最大工作电压：440V，连接方式：35mm标准导轨安装，保护水平Up：≤2.2kV，额定电压Un：220V/50Hz，响应时间：25ns，前置熔断器：32A，可遥信接点</w:t>
            </w:r>
            <w:r>
              <w:rPr>
                <w:rFonts w:hint="eastAsia" w:ascii="宋体" w:hAnsi="宋体" w:cs="宋体"/>
                <w:sz w:val="18"/>
                <w:szCs w:val="18"/>
                <w:lang w:eastAsia="zh-CN" w:bidi="ar-SA"/>
              </w:rPr>
              <w:br w:type="textWrapping"/>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台</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360" w:firstLineChars="0"/>
              <w:jc w:val="center"/>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8</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385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cs="宋体"/>
                <w:i w:val="0"/>
                <w:color w:val="000000"/>
                <w:kern w:val="0"/>
                <w:sz w:val="22"/>
                <w:szCs w:val="22"/>
                <w:u w:val="none"/>
                <w:lang w:val="en-US" w:eastAsia="zh-CN" w:bidi="ar"/>
              </w:rPr>
              <w:t>3080</w:t>
            </w:r>
          </w:p>
        </w:tc>
      </w:tr>
      <w:tr>
        <w:tblPrEx>
          <w:tblLayout w:type="fixed"/>
          <w:tblCellMar>
            <w:top w:w="0" w:type="dxa"/>
            <w:left w:w="108" w:type="dxa"/>
            <w:bottom w:w="0" w:type="dxa"/>
            <w:right w:w="108" w:type="dxa"/>
          </w:tblCellMar>
        </w:tblPrEx>
        <w:trPr>
          <w:gridAfter w:val="1"/>
          <w:wAfter w:w="174" w:type="dxa"/>
          <w:trHeight w:val="13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3</w:t>
            </w:r>
            <w:r>
              <w:rPr>
                <w:rFonts w:hint="eastAsia" w:ascii="宋体" w:hAnsi="宋体" w:cs="宋体"/>
                <w:sz w:val="20"/>
                <w:szCs w:val="20"/>
                <w:lang w:val="en-US" w:eastAsia="zh-CN" w:bidi="ar-SA"/>
              </w:rPr>
              <w:t>1</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地线</w:t>
            </w:r>
          </w:p>
        </w:tc>
        <w:tc>
          <w:tcPr>
            <w:tcW w:w="4226" w:type="dxa"/>
            <w:gridSpan w:val="2"/>
            <w:tcBorders>
              <w:top w:val="nil"/>
              <w:left w:val="nil"/>
              <w:bottom w:val="single" w:color="auto" w:sz="4" w:space="0"/>
              <w:right w:val="nil"/>
            </w:tcBorders>
            <w:shd w:val="clear" w:color="auto" w:fill="auto"/>
            <w:vAlign w:val="center"/>
          </w:tcPr>
          <w:p>
            <w:pPr>
              <w:textAlignment w:val="center"/>
              <w:rPr>
                <w:rFonts w:ascii="宋体" w:hAnsi="宋体" w:cs="宋体"/>
                <w:sz w:val="18"/>
                <w:szCs w:val="18"/>
                <w:lang w:eastAsia="zh-CN" w:bidi="ar-SA"/>
              </w:rPr>
            </w:pPr>
            <w:r>
              <w:rPr>
                <w:rFonts w:hint="eastAsia" w:ascii="宋体" w:hAnsi="宋体" w:cs="宋体"/>
                <w:color w:val="000000"/>
                <w:sz w:val="18"/>
                <w:szCs w:val="18"/>
                <w:lang w:eastAsia="zh-CN"/>
              </w:rPr>
              <w:t>多股纯铜导线，引接设备地</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米</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sz w:val="20"/>
                <w:szCs w:val="20"/>
                <w:lang w:eastAsia="zh-CN" w:bidi="ar-SA"/>
              </w:rPr>
            </w:pPr>
            <w:r>
              <w:rPr>
                <w:rFonts w:hint="eastAsia" w:ascii="宋体" w:hAnsi="宋体" w:cs="宋体"/>
                <w:i w:val="0"/>
                <w:color w:val="000000"/>
                <w:kern w:val="0"/>
                <w:sz w:val="24"/>
                <w:szCs w:val="24"/>
                <w:u w:val="none"/>
                <w:lang w:val="en-US" w:eastAsia="zh-CN" w:bidi="ar"/>
              </w:rPr>
              <w:t>200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cs="宋体"/>
                <w:color w:val="000000"/>
                <w:sz w:val="20"/>
                <w:szCs w:val="20"/>
                <w:lang w:val="en-US" w:eastAsia="zh-CN" w:bidi="ar-SA"/>
              </w:rPr>
              <w:t>4.6</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920</w:t>
            </w:r>
          </w:p>
        </w:tc>
      </w:tr>
      <w:tr>
        <w:tblPrEx>
          <w:tblLayout w:type="fixed"/>
          <w:tblCellMar>
            <w:top w:w="0" w:type="dxa"/>
            <w:left w:w="108" w:type="dxa"/>
            <w:bottom w:w="0" w:type="dxa"/>
            <w:right w:w="108" w:type="dxa"/>
          </w:tblCellMar>
        </w:tblPrEx>
        <w:trPr>
          <w:gridAfter w:val="1"/>
          <w:wAfter w:w="174" w:type="dxa"/>
          <w:trHeight w:val="240"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center"/>
              <w:rPr>
                <w:rFonts w:ascii="宋体" w:hAnsi="宋体" w:cs="宋体"/>
                <w:sz w:val="20"/>
                <w:szCs w:val="20"/>
                <w:lang w:eastAsia="zh-CN" w:bidi="ar-SA"/>
              </w:rPr>
            </w:pPr>
            <w:r>
              <w:rPr>
                <w:rFonts w:hint="eastAsia" w:ascii="宋体" w:hAnsi="宋体" w:cs="宋体"/>
                <w:sz w:val="20"/>
                <w:szCs w:val="20"/>
                <w:lang w:eastAsia="zh-CN" w:bidi="ar-SA"/>
              </w:rPr>
              <w:t>3</w:t>
            </w:r>
            <w:r>
              <w:rPr>
                <w:rFonts w:hint="eastAsia" w:ascii="宋体" w:hAnsi="宋体" w:cs="宋体"/>
                <w:sz w:val="20"/>
                <w:szCs w:val="20"/>
                <w:lang w:val="en-US" w:eastAsia="zh-CN" w:bidi="ar-SA"/>
              </w:rPr>
              <w:t>2</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r>
              <w:rPr>
                <w:rFonts w:hint="eastAsia" w:ascii="宋体" w:hAnsi="宋体" w:cs="宋体"/>
                <w:i w:val="0"/>
                <w:color w:val="000000"/>
                <w:kern w:val="0"/>
                <w:sz w:val="22"/>
                <w:szCs w:val="22"/>
                <w:u w:val="none"/>
                <w:lang w:val="en-US" w:eastAsia="zh-CN" w:bidi="ar"/>
              </w:rPr>
              <w:t>优足、</w:t>
            </w:r>
            <w:r>
              <w:rPr>
                <w:rFonts w:hint="eastAsia" w:ascii="宋体" w:hAnsi="宋体" w:cs="宋体"/>
                <w:color w:val="auto"/>
                <w:sz w:val="18"/>
                <w:szCs w:val="18"/>
                <w:lang w:val="en-US" w:eastAsia="zh-CN" w:bidi="ar-SA"/>
              </w:rPr>
              <w:t>安普康、飞利浦</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地丁</w:t>
            </w:r>
          </w:p>
        </w:tc>
        <w:tc>
          <w:tcPr>
            <w:tcW w:w="4226" w:type="dxa"/>
            <w:gridSpan w:val="2"/>
            <w:tcBorders>
              <w:top w:val="nil"/>
              <w:left w:val="nil"/>
              <w:bottom w:val="single" w:color="auto" w:sz="4" w:space="0"/>
              <w:right w:val="nil"/>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0.8米镀铜地丁，用于设备箱接地</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个</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sz w:val="20"/>
                <w:szCs w:val="20"/>
                <w:lang w:val="en-US" w:eastAsia="zh-CN" w:bidi="ar-SA"/>
              </w:rPr>
            </w:pPr>
            <w:r>
              <w:rPr>
                <w:rFonts w:hint="eastAsia" w:ascii="宋体" w:hAnsi="宋体" w:cs="宋体"/>
                <w:i w:val="0"/>
                <w:color w:val="000000"/>
                <w:kern w:val="0"/>
                <w:sz w:val="24"/>
                <w:szCs w:val="24"/>
                <w:u w:val="none"/>
                <w:lang w:val="en-US" w:eastAsia="zh-CN" w:bidi="ar"/>
              </w:rPr>
              <w:t>10</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cs="宋体"/>
                <w:i w:val="0"/>
                <w:color w:val="000000"/>
                <w:kern w:val="0"/>
                <w:sz w:val="24"/>
                <w:szCs w:val="24"/>
                <w:u w:val="none"/>
                <w:lang w:val="en-US" w:eastAsia="zh-CN" w:bidi="ar"/>
              </w:rPr>
              <w:t>12</w:t>
            </w:r>
            <w:r>
              <w:rPr>
                <w:rFonts w:hint="eastAsia" w:ascii="宋体" w:hAnsi="宋体" w:eastAsia="宋体" w:cs="宋体"/>
                <w:i w:val="0"/>
                <w:color w:val="000000"/>
                <w:kern w:val="0"/>
                <w:sz w:val="24"/>
                <w:szCs w:val="24"/>
                <w:u w:val="none"/>
                <w:lang w:val="en-US" w:eastAsia="zh-CN" w:bidi="ar"/>
              </w:rPr>
              <w:t>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val="en-US" w:eastAsia="zh-CN" w:bidi="ar-SA"/>
              </w:rPr>
            </w:pPr>
            <w:r>
              <w:rPr>
                <w:rFonts w:hint="eastAsia" w:ascii="宋体" w:hAnsi="宋体" w:cs="宋体"/>
                <w:i w:val="0"/>
                <w:color w:val="000000"/>
                <w:kern w:val="0"/>
                <w:sz w:val="22"/>
                <w:szCs w:val="22"/>
                <w:u w:val="none"/>
                <w:lang w:val="en-US" w:eastAsia="zh-CN" w:bidi="ar"/>
              </w:rPr>
              <w:t>1200</w:t>
            </w:r>
          </w:p>
        </w:tc>
      </w:tr>
      <w:tr>
        <w:tblPrEx>
          <w:tblLayout w:type="fixed"/>
          <w:tblCellMar>
            <w:top w:w="0" w:type="dxa"/>
            <w:left w:w="108" w:type="dxa"/>
            <w:bottom w:w="0" w:type="dxa"/>
            <w:right w:w="108" w:type="dxa"/>
          </w:tblCellMar>
        </w:tblPrEx>
        <w:trPr>
          <w:gridAfter w:val="1"/>
          <w:wAfter w:w="174" w:type="dxa"/>
          <w:trHeight w:val="285" w:hRule="atLeast"/>
        </w:trPr>
        <w:tc>
          <w:tcPr>
            <w:tcW w:w="494" w:type="dxa"/>
            <w:tcBorders>
              <w:top w:val="nil"/>
              <w:left w:val="single" w:color="auto" w:sz="4" w:space="0"/>
              <w:bottom w:val="single" w:color="auto" w:sz="4" w:space="0"/>
              <w:right w:val="single" w:color="auto" w:sz="4" w:space="0"/>
            </w:tcBorders>
            <w:shd w:val="clear" w:color="auto" w:fill="auto"/>
            <w:vAlign w:val="center"/>
          </w:tcPr>
          <w:p>
            <w:pPr>
              <w:ind w:firstLine="0"/>
              <w:jc w:val="both"/>
              <w:rPr>
                <w:rFonts w:ascii="宋体" w:hAnsi="宋体" w:cs="宋体"/>
                <w:sz w:val="20"/>
                <w:szCs w:val="20"/>
                <w:lang w:val="en-US" w:eastAsia="zh-CN" w:bidi="ar-SA"/>
              </w:rPr>
            </w:pPr>
            <w:r>
              <w:rPr>
                <w:rFonts w:hint="eastAsia" w:ascii="宋体" w:hAnsi="宋体" w:cs="宋体"/>
                <w:sz w:val="20"/>
                <w:szCs w:val="20"/>
                <w:lang w:val="en-US" w:eastAsia="zh-CN" w:bidi="ar-SA"/>
              </w:rPr>
              <w:t>33</w:t>
            </w: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hint="eastAsia" w:ascii="宋体" w:hAnsi="宋体" w:cs="宋体"/>
                <w:color w:val="auto"/>
                <w:sz w:val="18"/>
                <w:szCs w:val="18"/>
                <w:lang w:eastAsia="zh-CN" w:bidi="ar-SA"/>
              </w:rPr>
            </w:pPr>
          </w:p>
        </w:tc>
        <w:tc>
          <w:tcPr>
            <w:tcW w:w="635" w:type="dxa"/>
            <w:tcBorders>
              <w:top w:val="nil"/>
              <w:left w:val="nil"/>
              <w:bottom w:val="single" w:color="auto" w:sz="4" w:space="0"/>
              <w:right w:val="single" w:color="auto" w:sz="4" w:space="0"/>
            </w:tcBorders>
            <w:shd w:val="clear" w:color="auto" w:fill="auto"/>
            <w:vAlign w:val="center"/>
          </w:tcPr>
          <w:p>
            <w:pPr>
              <w:ind w:firstLine="0"/>
              <w:jc w:val="center"/>
              <w:rPr>
                <w:rFonts w:ascii="宋体" w:hAnsi="宋体" w:cs="宋体"/>
                <w:color w:val="auto"/>
                <w:sz w:val="18"/>
                <w:szCs w:val="18"/>
                <w:lang w:eastAsia="zh-CN" w:bidi="ar-SA"/>
              </w:rPr>
            </w:pPr>
            <w:r>
              <w:rPr>
                <w:rFonts w:hint="eastAsia" w:ascii="宋体" w:hAnsi="宋体" w:cs="宋体"/>
                <w:color w:val="auto"/>
                <w:sz w:val="18"/>
                <w:szCs w:val="18"/>
                <w:lang w:eastAsia="zh-CN" w:bidi="ar-SA"/>
              </w:rPr>
              <w:t>安装调试费</w:t>
            </w:r>
          </w:p>
        </w:tc>
        <w:tc>
          <w:tcPr>
            <w:tcW w:w="4226" w:type="dxa"/>
            <w:gridSpan w:val="2"/>
            <w:tcBorders>
              <w:top w:val="nil"/>
              <w:left w:val="nil"/>
              <w:bottom w:val="single" w:color="auto" w:sz="4" w:space="0"/>
              <w:right w:val="nil"/>
            </w:tcBorders>
            <w:shd w:val="clear" w:color="auto" w:fill="auto"/>
            <w:vAlign w:val="bottom"/>
          </w:tcPr>
          <w:p>
            <w:pPr>
              <w:ind w:firstLine="0"/>
              <w:rPr>
                <w:rFonts w:ascii="宋体" w:hAnsi="宋体" w:cs="宋体"/>
                <w:sz w:val="18"/>
                <w:szCs w:val="18"/>
                <w:lang w:eastAsia="zh-CN" w:bidi="ar-SA"/>
              </w:rPr>
            </w:pPr>
            <w:r>
              <w:rPr>
                <w:rFonts w:hint="eastAsia" w:ascii="宋体" w:hAnsi="宋体" w:cs="宋体"/>
                <w:sz w:val="18"/>
                <w:szCs w:val="18"/>
                <w:lang w:eastAsia="zh-CN" w:bidi="ar-SA"/>
              </w:rPr>
              <w:t>　根据客户要求并到指定地点所有设备的安装调试、综合布线，熔接，培训，一年免费上门服务，12小时响应，所超出的所有线材辅材均有成交人自行承担。</w:t>
            </w:r>
          </w:p>
        </w:tc>
        <w:tc>
          <w:tcPr>
            <w:tcW w:w="599" w:type="dxa"/>
            <w:tcBorders>
              <w:top w:val="nil"/>
              <w:left w:val="single" w:color="auto" w:sz="4" w:space="0"/>
              <w:bottom w:val="single" w:color="auto" w:sz="4" w:space="0"/>
              <w:right w:val="single" w:color="auto" w:sz="4" w:space="0"/>
            </w:tcBorders>
            <w:shd w:val="clear" w:color="auto" w:fill="auto"/>
            <w:vAlign w:val="center"/>
          </w:tcPr>
          <w:p>
            <w:pPr>
              <w:ind w:firstLine="0" w:firstLineChars="0"/>
              <w:jc w:val="center"/>
              <w:rPr>
                <w:rFonts w:ascii="宋体" w:hAnsi="宋体" w:cs="宋体"/>
                <w:sz w:val="20"/>
                <w:szCs w:val="20"/>
                <w:lang w:eastAsia="zh-CN" w:bidi="ar-SA"/>
              </w:rPr>
            </w:pPr>
            <w:r>
              <w:rPr>
                <w:rFonts w:hint="eastAsia" w:ascii="宋体" w:hAnsi="宋体" w:cs="宋体"/>
                <w:color w:val="000000"/>
                <w:sz w:val="20"/>
                <w:szCs w:val="20"/>
                <w:lang w:eastAsia="zh-CN" w:bidi="ar-SA"/>
              </w:rPr>
              <w:t>批</w:t>
            </w:r>
          </w:p>
        </w:tc>
        <w:tc>
          <w:tcPr>
            <w:tcW w:w="63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firstLine="360" w:firstLineChars="0"/>
              <w:jc w:val="center"/>
              <w:textAlignment w:val="center"/>
              <w:rPr>
                <w:rFonts w:ascii="宋体" w:hAnsi="宋体" w:cs="宋体"/>
                <w:sz w:val="20"/>
                <w:szCs w:val="20"/>
                <w:lang w:eastAsia="zh-CN" w:bidi="ar-SA"/>
              </w:rPr>
            </w:pPr>
            <w:r>
              <w:rPr>
                <w:rFonts w:hint="eastAsia" w:ascii="宋体" w:hAnsi="宋体" w:eastAsia="宋体" w:cs="宋体"/>
                <w:i w:val="0"/>
                <w:color w:val="000000"/>
                <w:kern w:val="0"/>
                <w:sz w:val="24"/>
                <w:szCs w:val="24"/>
                <w:u w:val="none"/>
                <w:lang w:val="en-US" w:eastAsia="zh-CN" w:bidi="ar"/>
              </w:rPr>
              <w:t>1</w:t>
            </w:r>
          </w:p>
        </w:tc>
        <w:tc>
          <w:tcPr>
            <w:tcW w:w="7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4"/>
                <w:szCs w:val="24"/>
                <w:u w:val="none"/>
                <w:lang w:val="en-US" w:eastAsia="zh-CN" w:bidi="ar"/>
              </w:rPr>
              <w:t>10000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both"/>
              <w:textAlignment w:val="center"/>
              <w:rPr>
                <w:rFonts w:ascii="宋体" w:hAnsi="宋体" w:cs="宋体"/>
                <w:color w:val="000000"/>
                <w:sz w:val="20"/>
                <w:szCs w:val="20"/>
                <w:lang w:eastAsia="zh-CN" w:bidi="ar-SA"/>
              </w:rPr>
            </w:pPr>
            <w:r>
              <w:rPr>
                <w:rFonts w:hint="eastAsia" w:ascii="宋体" w:hAnsi="宋体" w:eastAsia="宋体" w:cs="宋体"/>
                <w:i w:val="0"/>
                <w:color w:val="000000"/>
                <w:kern w:val="0"/>
                <w:sz w:val="22"/>
                <w:szCs w:val="22"/>
                <w:u w:val="none"/>
                <w:lang w:val="en-US" w:eastAsia="zh-CN" w:bidi="ar"/>
              </w:rPr>
              <w:t>10000</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 w:hRule="atLeast"/>
        </w:trPr>
        <w:tc>
          <w:tcPr>
            <w:tcW w:w="1129" w:type="dxa"/>
            <w:gridSpan w:val="2"/>
            <w:tcBorders>
              <w:top w:val="single" w:color="auto" w:sz="4" w:space="0"/>
              <w:left w:val="single" w:color="auto" w:sz="4" w:space="0"/>
              <w:bottom w:val="single" w:color="auto" w:sz="4" w:space="0"/>
              <w:right w:val="single" w:color="auto" w:sz="4" w:space="0"/>
            </w:tcBorders>
          </w:tcPr>
          <w:p>
            <w:pPr>
              <w:jc w:val="center"/>
              <w:rPr>
                <w:rFonts w:hint="eastAsia" w:ascii="宋体" w:hAnsi="宋体"/>
                <w:color w:val="auto"/>
                <w:sz w:val="18"/>
                <w:szCs w:val="18"/>
              </w:rPr>
            </w:pPr>
          </w:p>
        </w:tc>
        <w:tc>
          <w:tcPr>
            <w:tcW w:w="1129"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18"/>
                <w:szCs w:val="18"/>
              </w:rPr>
            </w:pPr>
            <w:r>
              <w:rPr>
                <w:rFonts w:hint="eastAsia" w:ascii="宋体" w:hAnsi="宋体"/>
                <w:color w:val="auto"/>
                <w:sz w:val="18"/>
                <w:szCs w:val="18"/>
              </w:rPr>
              <w:t>合计</w:t>
            </w:r>
          </w:p>
        </w:tc>
        <w:tc>
          <w:tcPr>
            <w:tcW w:w="6755" w:type="dxa"/>
            <w:gridSpan w:val="6"/>
            <w:tcBorders>
              <w:top w:val="single" w:color="auto" w:sz="4" w:space="0"/>
              <w:left w:val="single" w:color="auto" w:sz="4" w:space="0"/>
              <w:bottom w:val="single" w:color="auto" w:sz="4" w:space="0"/>
              <w:right w:val="single" w:color="auto" w:sz="4" w:space="0"/>
            </w:tcBorders>
          </w:tcPr>
          <w:p>
            <w:pPr>
              <w:rPr>
                <w:rFonts w:ascii="宋体" w:hAnsi="宋体"/>
                <w:sz w:val="18"/>
                <w:szCs w:val="18"/>
                <w:lang w:val="en-US" w:eastAsia="zh-CN"/>
              </w:rPr>
            </w:pPr>
            <w:r>
              <w:rPr>
                <w:rFonts w:hint="eastAsia" w:ascii="宋体" w:hAnsi="宋体"/>
                <w:bCs/>
                <w:sz w:val="18"/>
                <w:szCs w:val="18"/>
                <w:shd w:val="clear" w:color="auto" w:fill="FFFFFF"/>
                <w:lang w:eastAsia="zh-CN"/>
              </w:rPr>
              <w:t>贰拾壹万贰仟肆佰壹</w:t>
            </w:r>
            <w:bookmarkStart w:id="0" w:name="_GoBack"/>
            <w:bookmarkEnd w:id="0"/>
            <w:r>
              <w:rPr>
                <w:rFonts w:hint="eastAsia" w:ascii="宋体" w:hAnsi="宋体"/>
                <w:bCs/>
                <w:sz w:val="18"/>
                <w:szCs w:val="18"/>
                <w:shd w:val="clear" w:color="auto" w:fill="FFFFFF"/>
                <w:lang w:eastAsia="zh-CN"/>
              </w:rPr>
              <w:t>拾伍圆整（￥）</w:t>
            </w:r>
            <w:r>
              <w:rPr>
                <w:rFonts w:hint="eastAsia" w:ascii="宋体" w:hAnsi="宋体"/>
                <w:bCs/>
                <w:sz w:val="18"/>
                <w:szCs w:val="18"/>
                <w:shd w:val="clear" w:color="auto" w:fill="FFFFFF"/>
                <w:lang w:val="en-US" w:eastAsia="zh-CN"/>
              </w:rPr>
              <w:t>214115</w:t>
            </w:r>
          </w:p>
        </w:tc>
      </w:tr>
    </w:tbl>
    <w:p>
      <w:pPr>
        <w:ind w:firstLine="0"/>
        <w:rPr>
          <w:lang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4362E"/>
    <w:multiLevelType w:val="singleLevel"/>
    <w:tmpl w:val="8CB4362E"/>
    <w:lvl w:ilvl="0" w:tentative="0">
      <w:start w:val="1"/>
      <w:numFmt w:val="decimal"/>
      <w:suff w:val="space"/>
      <w:lvlText w:val="%1."/>
      <w:lvlJc w:val="left"/>
    </w:lvl>
  </w:abstractNum>
  <w:abstractNum w:abstractNumId="1">
    <w:nsid w:val="B95745BB"/>
    <w:multiLevelType w:val="singleLevel"/>
    <w:tmpl w:val="B95745BB"/>
    <w:lvl w:ilvl="0" w:tentative="0">
      <w:start w:val="8"/>
      <w:numFmt w:val="decimal"/>
      <w:lvlText w:val="%1."/>
      <w:lvlJc w:val="left"/>
      <w:pPr>
        <w:tabs>
          <w:tab w:val="left" w:pos="312"/>
        </w:tabs>
      </w:pPr>
    </w:lvl>
  </w:abstractNum>
  <w:abstractNum w:abstractNumId="2">
    <w:nsid w:val="46861120"/>
    <w:multiLevelType w:val="singleLevel"/>
    <w:tmpl w:val="46861120"/>
    <w:lvl w:ilvl="0" w:tentative="0">
      <w:start w:val="1"/>
      <w:numFmt w:val="decimal"/>
      <w:suff w:val="space"/>
      <w:lvlText w:val="%1."/>
      <w:lvlJc w:val="left"/>
    </w:lvl>
  </w:abstractNum>
  <w:abstractNum w:abstractNumId="3">
    <w:nsid w:val="577602BA"/>
    <w:multiLevelType w:val="singleLevel"/>
    <w:tmpl w:val="577602BA"/>
    <w:lvl w:ilvl="0" w:tentative="0">
      <w:start w:val="1"/>
      <w:numFmt w:val="decimal"/>
      <w:lvlText w:val="%1."/>
      <w:lvlJc w:val="left"/>
      <w:pPr>
        <w:tabs>
          <w:tab w:val="left" w:pos="312"/>
        </w:tabs>
      </w:pPr>
    </w:lvl>
  </w:abstractNum>
  <w:abstractNum w:abstractNumId="4">
    <w:nsid w:val="5813246D"/>
    <w:multiLevelType w:val="multilevel"/>
    <w:tmpl w:val="5813246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6F7F2397"/>
    <w:multiLevelType w:val="singleLevel"/>
    <w:tmpl w:val="6F7F2397"/>
    <w:lvl w:ilvl="0" w:tentative="0">
      <w:start w:val="1"/>
      <w:numFmt w:val="decimal"/>
      <w:suff w:val="space"/>
      <w:lvlText w:val="%1."/>
      <w:lvlJc w:val="left"/>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1B1"/>
    <w:rsid w:val="0002332D"/>
    <w:rsid w:val="000D0ADD"/>
    <w:rsid w:val="000E387B"/>
    <w:rsid w:val="000F7820"/>
    <w:rsid w:val="001302F5"/>
    <w:rsid w:val="00172A27"/>
    <w:rsid w:val="00180254"/>
    <w:rsid w:val="001C373E"/>
    <w:rsid w:val="001C6E3E"/>
    <w:rsid w:val="001F2612"/>
    <w:rsid w:val="00320E90"/>
    <w:rsid w:val="003766E5"/>
    <w:rsid w:val="003A3B94"/>
    <w:rsid w:val="0048358F"/>
    <w:rsid w:val="00492BC9"/>
    <w:rsid w:val="004F556E"/>
    <w:rsid w:val="005E0E5F"/>
    <w:rsid w:val="0061702C"/>
    <w:rsid w:val="00734DCA"/>
    <w:rsid w:val="0078771A"/>
    <w:rsid w:val="008B2683"/>
    <w:rsid w:val="0091165E"/>
    <w:rsid w:val="00974AF9"/>
    <w:rsid w:val="009E7CA5"/>
    <w:rsid w:val="00A1270D"/>
    <w:rsid w:val="00A5742E"/>
    <w:rsid w:val="00AF32DC"/>
    <w:rsid w:val="00B46933"/>
    <w:rsid w:val="00B80727"/>
    <w:rsid w:val="00BB23CB"/>
    <w:rsid w:val="00BB7473"/>
    <w:rsid w:val="00C42A81"/>
    <w:rsid w:val="00CA085C"/>
    <w:rsid w:val="00CA7380"/>
    <w:rsid w:val="00D25334"/>
    <w:rsid w:val="00D33A8E"/>
    <w:rsid w:val="00D61626"/>
    <w:rsid w:val="00D96119"/>
    <w:rsid w:val="00DF3F1D"/>
    <w:rsid w:val="00E03126"/>
    <w:rsid w:val="00E646C9"/>
    <w:rsid w:val="00EC12E2"/>
    <w:rsid w:val="00F33F99"/>
    <w:rsid w:val="00F54737"/>
    <w:rsid w:val="00F57347"/>
    <w:rsid w:val="1F46310E"/>
    <w:rsid w:val="20986317"/>
    <w:rsid w:val="32597140"/>
    <w:rsid w:val="39171618"/>
    <w:rsid w:val="4D6F3E8F"/>
    <w:rsid w:val="66DD3868"/>
    <w:rsid w:val="7C193E91"/>
    <w:rsid w:val="7D3F73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Times New Roman"/>
      <w:sz w:val="22"/>
      <w:szCs w:val="22"/>
      <w:lang w:val="en-US" w:eastAsia="en-US" w:bidi="en-US"/>
    </w:rPr>
  </w:style>
  <w:style w:type="paragraph" w:styleId="2">
    <w:name w:val="heading 1"/>
    <w:basedOn w:val="1"/>
    <w:next w:val="1"/>
    <w:link w:val="23"/>
    <w:qFormat/>
    <w:uiPriority w:val="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24"/>
    <w:qFormat/>
    <w:uiPriority w:val="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2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2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27"/>
    <w:qFormat/>
    <w:uiPriority w:val="9"/>
    <w:pPr>
      <w:spacing w:before="200" w:after="80"/>
      <w:ind w:firstLine="0"/>
      <w:outlineLvl w:val="4"/>
    </w:pPr>
    <w:rPr>
      <w:rFonts w:ascii="Cambria" w:hAnsi="Cambria"/>
      <w:color w:val="4F81BD"/>
    </w:rPr>
  </w:style>
  <w:style w:type="paragraph" w:styleId="7">
    <w:name w:val="heading 6"/>
    <w:basedOn w:val="1"/>
    <w:next w:val="1"/>
    <w:link w:val="28"/>
    <w:qFormat/>
    <w:uiPriority w:val="9"/>
    <w:pPr>
      <w:spacing w:before="280" w:after="100"/>
      <w:ind w:firstLine="0"/>
      <w:outlineLvl w:val="5"/>
    </w:pPr>
    <w:rPr>
      <w:rFonts w:ascii="Cambria" w:hAnsi="Cambria"/>
      <w:i/>
      <w:iCs/>
      <w:color w:val="4F81BD"/>
    </w:rPr>
  </w:style>
  <w:style w:type="paragraph" w:styleId="8">
    <w:name w:val="heading 7"/>
    <w:basedOn w:val="1"/>
    <w:next w:val="1"/>
    <w:link w:val="29"/>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0"/>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1"/>
    <w:qFormat/>
    <w:uiPriority w:val="9"/>
    <w:pPr>
      <w:spacing w:before="320" w:after="100"/>
      <w:ind w:firstLine="0"/>
      <w:outlineLvl w:val="8"/>
    </w:pPr>
    <w:rPr>
      <w:rFonts w:ascii="Cambria" w:hAnsi="Cambria"/>
      <w:i/>
      <w:iCs/>
      <w:color w:val="9BBB59"/>
      <w:sz w:val="20"/>
      <w:szCs w:val="20"/>
    </w:rPr>
  </w:style>
  <w:style w:type="character" w:default="1" w:styleId="17">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qFormat/>
    <w:uiPriority w:val="35"/>
    <w:rPr>
      <w:b/>
      <w:bCs/>
      <w:sz w:val="18"/>
      <w:szCs w:val="18"/>
    </w:rPr>
  </w:style>
  <w:style w:type="paragraph" w:styleId="12">
    <w:name w:val="Document Map"/>
    <w:basedOn w:val="1"/>
    <w:link w:val="22"/>
    <w:unhideWhenUsed/>
    <w:qFormat/>
    <w:uiPriority w:val="99"/>
    <w:rPr>
      <w:rFonts w:ascii="宋体"/>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15">
    <w:name w:val="Subtitle"/>
    <w:basedOn w:val="1"/>
    <w:next w:val="1"/>
    <w:link w:val="33"/>
    <w:qFormat/>
    <w:uiPriority w:val="11"/>
    <w:pPr>
      <w:spacing w:before="200" w:after="900"/>
      <w:ind w:firstLine="0"/>
      <w:jc w:val="right"/>
    </w:pPr>
    <w:rPr>
      <w:i/>
      <w:iCs/>
      <w:sz w:val="24"/>
      <w:szCs w:val="24"/>
    </w:rPr>
  </w:style>
  <w:style w:type="paragraph" w:styleId="16">
    <w:name w:val="Title"/>
    <w:basedOn w:val="1"/>
    <w:next w:val="1"/>
    <w:link w:val="32"/>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character" w:styleId="18">
    <w:name w:val="Strong"/>
    <w:basedOn w:val="17"/>
    <w:qFormat/>
    <w:uiPriority w:val="22"/>
    <w:rPr>
      <w:b/>
      <w:bCs/>
      <w:spacing w:val="0"/>
    </w:rPr>
  </w:style>
  <w:style w:type="character" w:styleId="19">
    <w:name w:val="Emphasis"/>
    <w:qFormat/>
    <w:uiPriority w:val="20"/>
    <w:rPr>
      <w:b/>
      <w:bCs/>
      <w:i/>
      <w:iCs/>
      <w:color w:val="5A5A5A"/>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文档结构图 Char"/>
    <w:basedOn w:val="17"/>
    <w:link w:val="12"/>
    <w:semiHidden/>
    <w:qFormat/>
    <w:uiPriority w:val="99"/>
    <w:rPr>
      <w:rFonts w:ascii="宋体"/>
      <w:kern w:val="2"/>
      <w:sz w:val="18"/>
      <w:szCs w:val="18"/>
    </w:rPr>
  </w:style>
  <w:style w:type="character" w:customStyle="1" w:styleId="23">
    <w:name w:val="标题 1 Char"/>
    <w:basedOn w:val="17"/>
    <w:link w:val="2"/>
    <w:qFormat/>
    <w:uiPriority w:val="9"/>
    <w:rPr>
      <w:rFonts w:ascii="Cambria" w:hAnsi="Cambria" w:eastAsia="宋体" w:cs="Times New Roman"/>
      <w:b/>
      <w:bCs/>
      <w:color w:val="365F91"/>
      <w:sz w:val="24"/>
      <w:szCs w:val="24"/>
    </w:rPr>
  </w:style>
  <w:style w:type="character" w:customStyle="1" w:styleId="24">
    <w:name w:val="标题 2 Char"/>
    <w:basedOn w:val="17"/>
    <w:link w:val="3"/>
    <w:qFormat/>
    <w:uiPriority w:val="9"/>
    <w:rPr>
      <w:rFonts w:ascii="Cambria" w:hAnsi="Cambria" w:eastAsia="宋体" w:cs="Times New Roman"/>
      <w:color w:val="365F91"/>
      <w:sz w:val="24"/>
      <w:szCs w:val="24"/>
    </w:rPr>
  </w:style>
  <w:style w:type="character" w:customStyle="1" w:styleId="25">
    <w:name w:val="标题 3 Char"/>
    <w:basedOn w:val="17"/>
    <w:link w:val="4"/>
    <w:qFormat/>
    <w:uiPriority w:val="9"/>
    <w:rPr>
      <w:rFonts w:ascii="Cambria" w:hAnsi="Cambria" w:eastAsia="宋体" w:cs="Times New Roman"/>
      <w:color w:val="4F81BD"/>
      <w:sz w:val="24"/>
      <w:szCs w:val="24"/>
    </w:rPr>
  </w:style>
  <w:style w:type="character" w:customStyle="1" w:styleId="26">
    <w:name w:val="标题 4 Char"/>
    <w:basedOn w:val="17"/>
    <w:link w:val="5"/>
    <w:qFormat/>
    <w:uiPriority w:val="9"/>
    <w:rPr>
      <w:rFonts w:ascii="Cambria" w:hAnsi="Cambria" w:eastAsia="宋体" w:cs="Times New Roman"/>
      <w:i/>
      <w:iCs/>
      <w:color w:val="4F81BD"/>
      <w:sz w:val="24"/>
      <w:szCs w:val="24"/>
    </w:rPr>
  </w:style>
  <w:style w:type="character" w:customStyle="1" w:styleId="27">
    <w:name w:val="标题 5 Char"/>
    <w:basedOn w:val="17"/>
    <w:link w:val="6"/>
    <w:semiHidden/>
    <w:qFormat/>
    <w:uiPriority w:val="9"/>
    <w:rPr>
      <w:rFonts w:ascii="Cambria" w:hAnsi="Cambria" w:eastAsia="宋体" w:cs="Times New Roman"/>
      <w:color w:val="4F81BD"/>
    </w:rPr>
  </w:style>
  <w:style w:type="character" w:customStyle="1" w:styleId="28">
    <w:name w:val="标题 6 Char"/>
    <w:basedOn w:val="17"/>
    <w:link w:val="7"/>
    <w:semiHidden/>
    <w:qFormat/>
    <w:uiPriority w:val="9"/>
    <w:rPr>
      <w:rFonts w:ascii="Cambria" w:hAnsi="Cambria" w:eastAsia="宋体" w:cs="Times New Roman"/>
      <w:i/>
      <w:iCs/>
      <w:color w:val="4F81BD"/>
    </w:rPr>
  </w:style>
  <w:style w:type="character" w:customStyle="1" w:styleId="29">
    <w:name w:val="标题 7 Char"/>
    <w:basedOn w:val="17"/>
    <w:link w:val="8"/>
    <w:semiHidden/>
    <w:qFormat/>
    <w:uiPriority w:val="9"/>
    <w:rPr>
      <w:rFonts w:ascii="Cambria" w:hAnsi="Cambria" w:eastAsia="宋体" w:cs="Times New Roman"/>
      <w:b/>
      <w:bCs/>
      <w:color w:val="9BBB59"/>
      <w:sz w:val="20"/>
      <w:szCs w:val="20"/>
    </w:rPr>
  </w:style>
  <w:style w:type="character" w:customStyle="1" w:styleId="30">
    <w:name w:val="标题 8 Char"/>
    <w:basedOn w:val="17"/>
    <w:link w:val="9"/>
    <w:semiHidden/>
    <w:qFormat/>
    <w:uiPriority w:val="9"/>
    <w:rPr>
      <w:rFonts w:ascii="Cambria" w:hAnsi="Cambria" w:eastAsia="宋体" w:cs="Times New Roman"/>
      <w:b/>
      <w:bCs/>
      <w:i/>
      <w:iCs/>
      <w:color w:val="9BBB59"/>
      <w:sz w:val="20"/>
      <w:szCs w:val="20"/>
    </w:rPr>
  </w:style>
  <w:style w:type="character" w:customStyle="1" w:styleId="31">
    <w:name w:val="标题 9 Char"/>
    <w:basedOn w:val="17"/>
    <w:link w:val="10"/>
    <w:semiHidden/>
    <w:qFormat/>
    <w:uiPriority w:val="9"/>
    <w:rPr>
      <w:rFonts w:ascii="Cambria" w:hAnsi="Cambria" w:eastAsia="宋体" w:cs="Times New Roman"/>
      <w:i/>
      <w:iCs/>
      <w:color w:val="9BBB59"/>
      <w:sz w:val="20"/>
      <w:szCs w:val="20"/>
    </w:rPr>
  </w:style>
  <w:style w:type="character" w:customStyle="1" w:styleId="32">
    <w:name w:val="标题 Char"/>
    <w:basedOn w:val="17"/>
    <w:link w:val="16"/>
    <w:qFormat/>
    <w:uiPriority w:val="10"/>
    <w:rPr>
      <w:rFonts w:ascii="Cambria" w:hAnsi="Cambria" w:eastAsia="宋体" w:cs="Times New Roman"/>
      <w:i/>
      <w:iCs/>
      <w:color w:val="243F60"/>
      <w:sz w:val="60"/>
      <w:szCs w:val="60"/>
    </w:rPr>
  </w:style>
  <w:style w:type="character" w:customStyle="1" w:styleId="33">
    <w:name w:val="副标题 Char"/>
    <w:basedOn w:val="17"/>
    <w:link w:val="15"/>
    <w:qFormat/>
    <w:uiPriority w:val="11"/>
    <w:rPr>
      <w:rFonts w:ascii="Calibri"/>
      <w:i/>
      <w:iCs/>
      <w:sz w:val="24"/>
      <w:szCs w:val="24"/>
    </w:rPr>
  </w:style>
  <w:style w:type="paragraph" w:customStyle="1" w:styleId="34">
    <w:name w:val="无间隔1"/>
    <w:basedOn w:val="1"/>
    <w:link w:val="35"/>
    <w:qFormat/>
    <w:uiPriority w:val="1"/>
    <w:pPr>
      <w:ind w:firstLine="0"/>
    </w:pPr>
  </w:style>
  <w:style w:type="character" w:customStyle="1" w:styleId="35">
    <w:name w:val="无间隔 字符"/>
    <w:basedOn w:val="17"/>
    <w:link w:val="34"/>
    <w:qFormat/>
    <w:uiPriority w:val="1"/>
  </w:style>
  <w:style w:type="paragraph" w:customStyle="1" w:styleId="36">
    <w:name w:val="列出段落1"/>
    <w:basedOn w:val="1"/>
    <w:qFormat/>
    <w:uiPriority w:val="34"/>
    <w:pPr>
      <w:ind w:left="720"/>
      <w:contextualSpacing/>
    </w:pPr>
  </w:style>
  <w:style w:type="paragraph" w:customStyle="1" w:styleId="37">
    <w:name w:val="引用1"/>
    <w:basedOn w:val="1"/>
    <w:next w:val="1"/>
    <w:link w:val="38"/>
    <w:qFormat/>
    <w:uiPriority w:val="29"/>
    <w:rPr>
      <w:rFonts w:ascii="Cambria" w:hAnsi="Cambria"/>
      <w:i/>
      <w:iCs/>
      <w:color w:val="5A5A5A"/>
    </w:rPr>
  </w:style>
  <w:style w:type="character" w:customStyle="1" w:styleId="38">
    <w:name w:val="引用 字符"/>
    <w:basedOn w:val="17"/>
    <w:link w:val="37"/>
    <w:qFormat/>
    <w:uiPriority w:val="29"/>
    <w:rPr>
      <w:rFonts w:ascii="Cambria" w:hAnsi="Cambria" w:eastAsia="宋体" w:cs="Times New Roman"/>
      <w:i/>
      <w:iCs/>
      <w:color w:val="5A5A5A"/>
    </w:rPr>
  </w:style>
  <w:style w:type="paragraph" w:customStyle="1" w:styleId="39">
    <w:name w:val="明显引用1"/>
    <w:basedOn w:val="1"/>
    <w:next w:val="1"/>
    <w:link w:val="4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0">
    <w:name w:val="明显引用 字符"/>
    <w:basedOn w:val="17"/>
    <w:link w:val="39"/>
    <w:qFormat/>
    <w:uiPriority w:val="30"/>
    <w:rPr>
      <w:rFonts w:ascii="Cambria" w:hAnsi="Cambria" w:eastAsia="宋体" w:cs="Times New Roman"/>
      <w:i/>
      <w:iCs/>
      <w:color w:val="FFFFFF"/>
      <w:sz w:val="24"/>
      <w:szCs w:val="24"/>
      <w:shd w:val="clear" w:color="auto" w:fill="4F81BD"/>
    </w:rPr>
  </w:style>
  <w:style w:type="character" w:customStyle="1" w:styleId="41">
    <w:name w:val="不明显强调1"/>
    <w:qFormat/>
    <w:uiPriority w:val="19"/>
    <w:rPr>
      <w:i/>
      <w:iCs/>
      <w:color w:val="5A5A5A"/>
    </w:rPr>
  </w:style>
  <w:style w:type="character" w:customStyle="1" w:styleId="42">
    <w:name w:val="明显强调1"/>
    <w:qFormat/>
    <w:uiPriority w:val="21"/>
    <w:rPr>
      <w:b/>
      <w:bCs/>
      <w:i/>
      <w:iCs/>
      <w:color w:val="4F81BD"/>
      <w:sz w:val="22"/>
      <w:szCs w:val="22"/>
    </w:rPr>
  </w:style>
  <w:style w:type="character" w:customStyle="1" w:styleId="43">
    <w:name w:val="不明显参考1"/>
    <w:qFormat/>
    <w:uiPriority w:val="31"/>
    <w:rPr>
      <w:color w:val="auto"/>
      <w:u w:val="single" w:color="9BBB59"/>
    </w:rPr>
  </w:style>
  <w:style w:type="character" w:customStyle="1" w:styleId="44">
    <w:name w:val="明显参考1"/>
    <w:basedOn w:val="17"/>
    <w:qFormat/>
    <w:uiPriority w:val="32"/>
    <w:rPr>
      <w:b/>
      <w:bCs/>
      <w:color w:val="76923C"/>
      <w:u w:val="single" w:color="9BBB59"/>
    </w:rPr>
  </w:style>
  <w:style w:type="character" w:customStyle="1" w:styleId="45">
    <w:name w:val="书籍标题1"/>
    <w:basedOn w:val="17"/>
    <w:qFormat/>
    <w:uiPriority w:val="33"/>
    <w:rPr>
      <w:rFonts w:ascii="Cambria" w:hAnsi="Cambria" w:eastAsia="宋体" w:cs="Times New Roman"/>
      <w:b/>
      <w:bCs/>
      <w:i/>
      <w:iCs/>
      <w:color w:val="auto"/>
    </w:rPr>
  </w:style>
  <w:style w:type="paragraph" w:customStyle="1" w:styleId="46">
    <w:name w:val="TOC 标题1"/>
    <w:basedOn w:val="2"/>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78A77-FF8E-4A13-B3CF-381FD2B09E6C}">
  <ds:schemaRefs/>
</ds:datastoreItem>
</file>

<file path=docProps/app.xml><?xml version="1.0" encoding="utf-8"?>
<Properties xmlns="http://schemas.openxmlformats.org/officeDocument/2006/extended-properties" xmlns:vt="http://schemas.openxmlformats.org/officeDocument/2006/docPropsVTypes">
  <Template>Normal</Template>
  <Company>广东天眼智能科技有限公司</Company>
  <Pages>11</Pages>
  <Words>1636</Words>
  <Characters>9328</Characters>
  <Lines>77</Lines>
  <Paragraphs>21</Paragraphs>
  <TotalTime>2</TotalTime>
  <ScaleCrop>false</ScaleCrop>
  <LinksUpToDate>false</LinksUpToDate>
  <CharactersWithSpaces>10943</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2016-05-06T14:24:00Z</dcterms:created>
  <dc:creator>张彪</dc:creator>
  <cp:lastModifiedBy>Administrator</cp:lastModifiedBy>
  <cp:lastPrinted>2411-12-31T16:00:00Z</cp:lastPrinted>
  <dcterms:modified xsi:type="dcterms:W3CDTF">2018-10-25T04:03:17Z</dcterms:modified>
  <dc:title>中小学综合视频监控系统解决方案</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