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白茶蛋白质组测序项目具体要求</w:t>
      </w:r>
    </w:p>
    <w:p>
      <w:pPr>
        <w:numPr>
          <w:ilvl w:val="0"/>
          <w:numId w:val="1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样品组数</w:t>
      </w:r>
    </w:p>
    <w:p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3组3重复，共9个样品。</w:t>
      </w:r>
    </w:p>
    <w:p>
      <w:pPr>
        <w:numPr>
          <w:ilvl w:val="0"/>
          <w:numId w:val="2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采用技术</w:t>
      </w:r>
    </w:p>
    <w:p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使用TMT技术进行检测。</w:t>
      </w:r>
    </w:p>
    <w:p>
      <w:pPr>
        <w:numPr>
          <w:ilvl w:val="0"/>
          <w:numId w:val="2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具体测序通量要求</w:t>
      </w:r>
    </w:p>
    <w:p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检测到的蛋白通量大于5000个，RP分级12级以上。</w:t>
      </w:r>
    </w:p>
    <w:p>
      <w:pPr>
        <w:numPr>
          <w:ilvl w:val="0"/>
          <w:numId w:val="2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项目周期</w:t>
      </w:r>
    </w:p>
    <w:p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项目周期时间不超过70天。</w:t>
      </w:r>
    </w:p>
    <w:p>
      <w:pPr>
        <w:spacing w:line="500" w:lineRule="exact"/>
        <w:jc w:val="left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五、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服务公司的实验平台要求：</w:t>
      </w:r>
    </w:p>
    <w:p>
      <w:pPr>
        <w:spacing w:line="500" w:lineRule="exact"/>
        <w:ind w:firstLine="560" w:firstLineChars="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1、具有自己独立质谱平台、样品制备实力、生物信息分析。</w:t>
      </w:r>
    </w:p>
    <w:p>
      <w:pPr>
        <w:spacing w:line="500" w:lineRule="exact"/>
        <w:ind w:firstLine="560" w:firstLineChars="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2、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有丰富的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茶叶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检测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经验，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参与发表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二十篇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以上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SCI文章（影响因子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5分以上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。</w:t>
      </w:r>
    </w:p>
    <w:p>
      <w:pPr>
        <w:numPr>
          <w:ilvl w:val="0"/>
          <w:numId w:val="2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项目报告要求</w:t>
      </w:r>
    </w:p>
    <w:p>
      <w:pPr>
        <w:pStyle w:val="10"/>
        <w:widowControl/>
        <w:snapToGrid w:val="0"/>
        <w:spacing w:line="360" w:lineRule="auto"/>
        <w:ind w:firstLine="560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1、预实验报告包括：预实验技术路线及方法、预实验结果（主要包括：蛋白质浓度定量、蛋白质SDS-PAGE胶图、质谱分析参数及结果）及附件（蛋白质鉴定简表）。</w:t>
      </w:r>
    </w:p>
    <w:p>
      <w:pPr>
        <w:pStyle w:val="10"/>
        <w:widowControl/>
        <w:snapToGrid w:val="0"/>
        <w:spacing w:line="360" w:lineRule="auto"/>
        <w:ind w:firstLine="560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正式实验报告包括：实验原理及技术路线、实验方法与仪器、QC结果（肽段离子质量偏差分布、肽段离子得分分布、蛋白质丰度比分布）、实验结果（主要包括：质谱分析参数及鉴定结果、差异蛋白质定量分析结果）、附件（主要包括：肽段定量表、蛋白质定量表及蛋白质显著性分析列表）。</w:t>
      </w:r>
    </w:p>
    <w:p>
      <w:pPr>
        <w:pStyle w:val="10"/>
        <w:widowControl/>
        <w:snapToGrid w:val="0"/>
        <w:spacing w:line="360" w:lineRule="auto"/>
        <w:ind w:firstLine="560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、标准生物信息学报告包括:蛋白质相对分子质量分布、蛋白质等电点分布、肽段序列长度分布、肽段序列覆盖度分布、鉴定肽段数量分布、差异蛋白质火山图、差异蛋白质聚类分析、差异蛋白质GO功能分析、差异蛋白质KEGG通路分析，差异蛋白质GO功能富集分析、差异蛋白质KEGG通路富集分析。PPI互作网络分析、PPI互作网络Module分析、亚细胞定位预测、结构域注释、趋势聚类、COG/KOG注释。</w:t>
      </w:r>
    </w:p>
    <w:p>
      <w:pPr>
        <w:pStyle w:val="10"/>
        <w:widowControl/>
        <w:snapToGrid w:val="0"/>
        <w:spacing w:line="360" w:lineRule="auto"/>
        <w:ind w:firstLine="56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4、原始数据、差异蛋白质的肽段二级质谱图</w:t>
      </w:r>
    </w:p>
    <w:p>
      <w:pPr>
        <w:pStyle w:val="10"/>
        <w:widowControl/>
        <w:snapToGrid w:val="0"/>
        <w:spacing w:line="360" w:lineRule="auto"/>
        <w:ind w:firstLine="560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5、转录组与蛋白组联合分析</w:t>
      </w:r>
    </w:p>
    <w:p>
      <w:pPr>
        <w:spacing w:line="500" w:lineRule="exact"/>
        <w:ind w:firstLine="560" w:firstLineChars="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（1）蛋白组与转录组表达趋势相同基因pathway分析；</w:t>
      </w:r>
    </w:p>
    <w:p>
      <w:pPr>
        <w:spacing w:line="500" w:lineRule="exact"/>
        <w:ind w:firstLine="560" w:firstLineChars="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（2）蛋白组与转录组表达趋势相反基因pathway分析；</w:t>
      </w:r>
    </w:p>
    <w:p>
      <w:pPr>
        <w:spacing w:line="500" w:lineRule="exact"/>
        <w:ind w:firstLine="560" w:firstLineChars="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（3）蛋白组无变化、转录组差异表达基因pathway分析；</w:t>
      </w:r>
    </w:p>
    <w:p>
      <w:pPr>
        <w:spacing w:line="500" w:lineRule="exact"/>
        <w:ind w:firstLine="560" w:firstLineChars="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（4）转录组无变化、蛋白差异表达基因pathway分析；</w:t>
      </w:r>
    </w:p>
    <w:p>
      <w:pPr>
        <w:spacing w:line="500" w:lineRule="exact"/>
        <w:ind w:firstLine="560" w:firstLineChars="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（5）蛋白组与转录组表达模式聚类分析；</w:t>
      </w:r>
    </w:p>
    <w:p>
      <w:pPr>
        <w:spacing w:line="500" w:lineRule="exact"/>
        <w:ind w:firstLine="560" w:firstLineChars="20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（6）蛋白组与转录组定性定量相关性分析；</w:t>
      </w:r>
    </w:p>
    <w:p>
      <w:pPr>
        <w:numPr>
          <w:ilvl w:val="0"/>
          <w:numId w:val="2"/>
        </w:num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特殊要求</w:t>
      </w:r>
    </w:p>
    <w:p>
      <w:pPr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后期生物信息学分析需要进行转录组与蛋白质组的关联分析，转录组数据由招标单位提供，关联分析的结果需要在最终报告中呈现，服务内容中需要包含转录组与蛋白组关联分析。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付款方式：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验收合格后，在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 xml:space="preserve">月内不存在质量问题的前提下，支付合同总额的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eastAsia="zh-CN"/>
        </w:rPr>
        <w:t xml:space="preserve"> %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。履约保证金：乙方在签订政府采购合同前三日内应向甲方缴纳合同总金额的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eastAsia="zh-CN"/>
        </w:rPr>
        <w:t xml:space="preserve">  %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（根据合同总金额大小在2%~5%之间取值）（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元*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 xml:space="preserve">%=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元，大写金额：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元）作为履约保证金，该履约保证金于设备验收合格后自动转为质量保证金，质量保证金将在质保期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u w:val="single"/>
          <w:lang w:val="en-US" w:eastAsia="zh-CN"/>
        </w:rPr>
        <w:t>(1个月)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结束后且乙方无违约的前提下无息退还。</w:t>
      </w:r>
    </w:p>
    <w:p>
      <w:pPr>
        <w:ind w:firstLine="560" w:firstLineChars="200"/>
        <w:rPr>
          <w:rFonts w:asciiTheme="minorEastAsia" w:hAnsiTheme="minorEastAsia" w:cstheme="minorEastAsia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080490"/>
    <w:multiLevelType w:val="singleLevel"/>
    <w:tmpl w:val="ED08049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7883FDC3"/>
    <w:multiLevelType w:val="singleLevel"/>
    <w:tmpl w:val="7883FD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995E86"/>
    <w:rsid w:val="00002280"/>
    <w:rsid w:val="004F09C4"/>
    <w:rsid w:val="00560BA9"/>
    <w:rsid w:val="007062EB"/>
    <w:rsid w:val="008877D2"/>
    <w:rsid w:val="00BA4443"/>
    <w:rsid w:val="00CA0162"/>
    <w:rsid w:val="00CE23FA"/>
    <w:rsid w:val="02995E86"/>
    <w:rsid w:val="03B41908"/>
    <w:rsid w:val="04B23F10"/>
    <w:rsid w:val="0A93646E"/>
    <w:rsid w:val="0C10037F"/>
    <w:rsid w:val="0EA32ABA"/>
    <w:rsid w:val="187B2455"/>
    <w:rsid w:val="199A6FE4"/>
    <w:rsid w:val="19BD7A47"/>
    <w:rsid w:val="1A1A6B0D"/>
    <w:rsid w:val="1CB97A0E"/>
    <w:rsid w:val="1FF6266F"/>
    <w:rsid w:val="273C7358"/>
    <w:rsid w:val="278A61D4"/>
    <w:rsid w:val="3143628E"/>
    <w:rsid w:val="326E0295"/>
    <w:rsid w:val="34BF69F1"/>
    <w:rsid w:val="35C84618"/>
    <w:rsid w:val="36736CC9"/>
    <w:rsid w:val="4634271B"/>
    <w:rsid w:val="493B6951"/>
    <w:rsid w:val="4D0D2FEA"/>
    <w:rsid w:val="4D8144E9"/>
    <w:rsid w:val="4DF3294D"/>
    <w:rsid w:val="50CF3D50"/>
    <w:rsid w:val="556D70B2"/>
    <w:rsid w:val="55AF159E"/>
    <w:rsid w:val="5A8C0CBA"/>
    <w:rsid w:val="698E4E29"/>
    <w:rsid w:val="771A06F3"/>
    <w:rsid w:val="78AC3D26"/>
    <w:rsid w:val="7B250162"/>
    <w:rsid w:val="7FCF0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qFormat/>
    <w:uiPriority w:val="0"/>
    <w:rPr>
      <w:b/>
      <w:bCs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1">
    <w:name w:val="页眉 Char"/>
    <w:basedOn w:val="7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143</Words>
  <Characters>821</Characters>
  <Lines>6</Lines>
  <Paragraphs>1</Paragraphs>
  <TotalTime>4</TotalTime>
  <ScaleCrop>false</ScaleCrop>
  <LinksUpToDate>false</LinksUpToDate>
  <CharactersWithSpaces>963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2018-10-23T03:01:00Z</dcterms:created>
  <dc:creator>白羊是我，狼也是我</dc:creator>
  <cp:lastModifiedBy>小老爷们</cp:lastModifiedBy>
  <dcterms:modified xsi:type="dcterms:W3CDTF">2018-11-30T07:41:01Z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