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70" w:type="dxa"/>
        <w:tblInd w:w="93" w:type="dxa"/>
        <w:tblLayout w:type="fixed"/>
        <w:tblCellMar>
          <w:top w:w="0" w:type="dxa"/>
          <w:left w:w="108" w:type="dxa"/>
          <w:bottom w:w="0" w:type="dxa"/>
          <w:right w:w="108" w:type="dxa"/>
        </w:tblCellMar>
      </w:tblPr>
      <w:tblGrid>
        <w:gridCol w:w="960"/>
        <w:gridCol w:w="1320"/>
        <w:gridCol w:w="7091"/>
        <w:gridCol w:w="992"/>
        <w:gridCol w:w="1232"/>
        <w:gridCol w:w="1975"/>
      </w:tblGrid>
      <w:tr>
        <w:tblPrEx>
          <w:tblLayout w:type="fixed"/>
          <w:tblCellMar>
            <w:top w:w="0" w:type="dxa"/>
            <w:left w:w="108" w:type="dxa"/>
            <w:bottom w:w="0" w:type="dxa"/>
            <w:right w:w="108" w:type="dxa"/>
          </w:tblCellMar>
        </w:tblPrEx>
        <w:trPr>
          <w:trHeight w:val="33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w:t>
            </w:r>
            <w:r>
              <w:rPr>
                <w:rFonts w:ascii="Arial" w:hAnsi="Arial" w:eastAsia="宋体" w:cs="Arial"/>
                <w:kern w:val="0"/>
                <w:sz w:val="24"/>
                <w:szCs w:val="24"/>
              </w:rPr>
              <w:t xml:space="preserve">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产品名称</w:t>
            </w:r>
            <w:r>
              <w:rPr>
                <w:rFonts w:ascii="Arial" w:hAnsi="Arial" w:eastAsia="宋体" w:cs="Arial"/>
                <w:kern w:val="0"/>
                <w:sz w:val="24"/>
                <w:szCs w:val="24"/>
              </w:rPr>
              <w:t xml:space="preserve">          </w:t>
            </w:r>
          </w:p>
        </w:tc>
        <w:tc>
          <w:tcPr>
            <w:tcW w:w="7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规格型号</w:t>
            </w:r>
            <w:r>
              <w:rPr>
                <w:rFonts w:ascii="Arial" w:hAnsi="Arial" w:eastAsia="宋体" w:cs="Arial"/>
                <w:kern w:val="0"/>
                <w:sz w:val="24"/>
                <w:szCs w:val="24"/>
              </w:rPr>
              <w:t xml:space="preserve">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12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197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Layout w:type="fixed"/>
          <w:tblCellMar>
            <w:top w:w="0" w:type="dxa"/>
            <w:left w:w="108" w:type="dxa"/>
            <w:bottom w:w="0" w:type="dxa"/>
            <w:right w:w="108" w:type="dxa"/>
          </w:tblCellMar>
        </w:tblPrEx>
        <w:trPr>
          <w:trHeight w:val="285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液晶拼接屏</w:t>
            </w:r>
          </w:p>
        </w:tc>
        <w:tc>
          <w:tcPr>
            <w:tcW w:w="709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 LCD显示单元≥55英寸超窄边液晶屏。</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2. LCD显示单元物理分辨率达到1920×1080，响应时间≤12ms。</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3. LCD显示单元物理拼缝≤3.5mm，亮度≥500cd/㎡，对比度达到4000:1。</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4. LCD显示单元具备VGA≥1，HDMI≥1，DVI≥1，BNC≥1 。</w:t>
            </w:r>
          </w:p>
          <w:p>
            <w:pPr>
              <w:widowControl/>
              <w:rPr>
                <w:rFonts w:ascii="宋体" w:hAnsi="宋体" w:eastAsia="宋体" w:cs="宋体"/>
                <w:kern w:val="0"/>
                <w:sz w:val="24"/>
                <w:szCs w:val="24"/>
              </w:rPr>
            </w:pPr>
            <w:r>
              <w:rPr>
                <w:rFonts w:hint="eastAsia" w:ascii="宋体" w:hAnsi="宋体" w:eastAsia="宋体" w:cs="宋体"/>
                <w:kern w:val="0"/>
                <w:sz w:val="24"/>
                <w:szCs w:val="24"/>
              </w:rPr>
              <w:t>5. LCD显示单元输出接口：VGA≥1，DV≥1，BNC≥1。</w:t>
            </w:r>
          </w:p>
          <w:p>
            <w:pPr>
              <w:widowControl/>
              <w:rPr>
                <w:rFonts w:ascii="宋体" w:hAnsi="宋体" w:eastAsia="宋体" w:cs="宋体"/>
                <w:kern w:val="0"/>
                <w:sz w:val="24"/>
                <w:szCs w:val="24"/>
              </w:rPr>
            </w:pPr>
            <w:r>
              <w:rPr>
                <w:rFonts w:hint="eastAsia" w:ascii="宋体" w:hAnsi="宋体" w:eastAsia="宋体" w:cs="宋体"/>
                <w:kern w:val="0"/>
                <w:sz w:val="24"/>
                <w:szCs w:val="24"/>
              </w:rPr>
              <w:t>6. LCD显示单元寿命：≥60000 小时。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rPr>
              <w:t>主件</w:t>
            </w:r>
          </w:p>
        </w:tc>
      </w:tr>
      <w:tr>
        <w:tblPrEx>
          <w:tblLayout w:type="fixed"/>
          <w:tblCellMar>
            <w:top w:w="0" w:type="dxa"/>
            <w:left w:w="108" w:type="dxa"/>
            <w:bottom w:w="0" w:type="dxa"/>
            <w:right w:w="108" w:type="dxa"/>
          </w:tblCellMar>
        </w:tblPrEx>
        <w:trPr>
          <w:trHeight w:val="1035"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LCD拼接屏支架</w:t>
            </w:r>
          </w:p>
        </w:tc>
        <w:tc>
          <w:tcPr>
            <w:tcW w:w="70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壁挂支架,尺寸与液晶拼接屏配套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块</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575"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视频矩阵</w:t>
            </w:r>
          </w:p>
        </w:tc>
        <w:tc>
          <w:tcPr>
            <w:tcW w:w="709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 投标产品投标产品平均无故障运行时间（MTBF）达到180000小时、MTTR小于15分钟且设备整体可用度≥99.99%。</w:t>
            </w:r>
          </w:p>
          <w:p>
            <w:pPr>
              <w:widowControl/>
              <w:rPr>
                <w:rFonts w:ascii="宋体" w:hAnsi="宋体" w:eastAsia="宋体" w:cs="宋体"/>
                <w:kern w:val="0"/>
                <w:sz w:val="24"/>
                <w:szCs w:val="24"/>
              </w:rPr>
            </w:pPr>
            <w:r>
              <w:rPr>
                <w:rFonts w:hint="eastAsia" w:ascii="宋体" w:hAnsi="宋体" w:eastAsia="宋体" w:cs="宋体"/>
                <w:kern w:val="0"/>
                <w:sz w:val="24"/>
                <w:szCs w:val="24"/>
              </w:rPr>
              <w:t>2. 投标产品支持≥4路HDMI输入，≥4路DVI输出。</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3. 投标产品支持视频参数设置功能。具有亮度、对比度、饱和度、锐度设置选项，位置上下、左右可调。</w:t>
            </w:r>
          </w:p>
          <w:p>
            <w:pPr>
              <w:widowControl/>
              <w:rPr>
                <w:rFonts w:ascii="宋体" w:hAnsi="宋体" w:eastAsia="宋体" w:cs="宋体"/>
                <w:kern w:val="0"/>
                <w:sz w:val="24"/>
                <w:szCs w:val="24"/>
              </w:rPr>
            </w:pPr>
            <w:r>
              <w:rPr>
                <w:rFonts w:hint="eastAsia" w:ascii="宋体" w:hAnsi="宋体" w:eastAsia="宋体" w:cs="宋体"/>
                <w:kern w:val="0"/>
                <w:sz w:val="24"/>
                <w:szCs w:val="24"/>
              </w:rPr>
              <w:t>4. 投标产品信号源切换时无黑场现象。</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5. ★投标产品支持EDID自由设置功能，支持HDTVI反向云台控制功能。（中标后需提供权威授权机构在本招标公告发布前出具的有效检测报告复印件并加盖投标人公章，原件备查）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6. ★设备支持一拖多功能，一路视频可同时被多路输出解码，可对同一信号源在不同屏幕中进行开关、缩放、移动、切换、全屏、平铺操作。最大可支持1120路输出。（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7. 投标产品网络抓屏功能，设备支持网络远程抓屏上墙功能，支持全屏抓屏和自定义抓屏。</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8. ★单解码板可同时显示输出2路3296x2472格式的视频图像，或同时输出8路1920x1080格式的视频图像，或同时输出16路1280x720格式的视频图像，或同时输出32路720x480格式的视频图像。（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9. ★可将电视墙场景一键等比例显示在其他电视墙上。（中标后需提供权威授权机构在本招标公告发布前出具的有效检测报告复印件并加盖投标人公章，原件备查）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10. 投标产品支持客户端管理功能，支持用户管理、日志管理、权限管理、告警管理、远程维护等功能。</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11. ★设备应具备预览功能：能同时对矩阵和终端进行配置，可同时输出不同信号源视频图像，并在同一屏幕上显示；可在屏幕上显示输出端口编号；可通过屏幕编号调整分屏显示顺序；可对视频文件进行回放；可设置输出视频背景色；支持走廊模式。（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12. ★可通过客户端远程操作接入样机的子客户端，实现全面接管控制、划线标注、图片展示、视频播放、office文件演示功能。（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13. 可将电视墙场景一键等比例显示在其他电视墙上。</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14. ★投标产品支持预览功能，能同时对矩阵和显示终端进行配置；设备可同时输出不同信号源视频图象，并在同一屏幕上显示；可通过屏幕编号调整分屏显示顺序；可对视频文件进行回放。（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15. ★投标产品支持输出分辨率自定义功能，可通过客户端软件或浏览器对输出分辨率进行设置，最大分辨率可设为1920*1200。（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16. ★投标产品设备最大可支持同时开启1152个窗口。支持内置矩阵功能，信号源支持一拖多，一路进最多可以3840路出。（中标后需提供权威授权机构在本招标公告发布前出具的有效检测报告复印件并加盖投标人公章，原件备查）</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17. ★投标产品支持将输入视频图像以60帧/秒的帧率显示输出，可将1路输入视频图像发送至多个输出接口拼接显示。（中标后需提供权威授权机构在本招标公告发布前出具的有效检测报告复印件并加盖投标人公章，原件备查）</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扩声音箱</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规 格≥ 8吋/2分频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颜 色: 黑金砂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材 质: 木料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频率响应≥ 100Hz-18KHz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阻 抗≥ 8Ω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定功率≥ 60W-120W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最大声压≥ 120dB SPL,124dB SPL peak</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尺寸（高、宽、厚）≥420*250*250mm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重 量≥7.8kg</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连接方式：音箱卡龙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安装方式：壁挂式、支架式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功能：语音型，左右可调≥160度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出厂配置：音箱、吊架、说明书、合格证、保修卡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双通道纯后级功放</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高强度结构机箱，与机架对称结构，装配快捷。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大能量线性供电，高效率环型变压器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独立模块结构，分辨率高，语音清晰细腻。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平衡、不平衡输入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立体声、单声道、桥接三种输出方式。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高灵敏度安全保护电路。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电源、保护、信号、削波LED工作状态指示。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削峰限幅、电源软启动系统。用继电器延时的电路机的软启动特性，从而保护了扬声器免受开关机时的电冲击</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双Speaker和喇叭接线柱输出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高效率双风扇冷却通道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低噪音设计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输入电压：AC220V/50Hz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额定功率≥600W                                                                                                                                                   输入灵敏度阻抗≥500mv/20KΩ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输出功率≥8Ω----2x200W; 4Ω----2x350W; 桥接8Ω----600W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频率响应≥20Hz-20KHz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输入方式：卡龙母平衡输入，6.35插座输入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输出方式：音箱接线柱，音箱卡龙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功能：适合各种场合的声音放大传输，对扬声器有保护电路，电源软启动，搞保真，声音清晰，人声表现力强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信噪比:&gt;90dB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谐波失真:&lt;0.05%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通道串音:&lt;-70dB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输出阻抗:4-16Ω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机箱规格：2U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开关、指示：船型开关、面板电源，保护信号，谐波各种状态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出厂配置：成品、电源线、说明书、合格证、保修卡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出厂配置：音箱、吊架、说明书、合格证、保修卡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8路调音台 (带USB录音放音功能）</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输入电压：AC220V/50Hz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额定功率≥25W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频率响应≥20Hz～20KHz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重量≥4.41KG</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规格（长*宽*高）mm≥400*400*45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输入方式：4路话筒卡龙母，4路莲花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输出方式：主声道双声道平衡、6.35插座。SUB 双声道6.35插座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单声道输入配备高品质话筒放大器。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功能：高中低音调节，话筒48V供电选择，录音输出，2编组输出，2路辅助输出，数码混响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具有：LED显示屏，支持MP3播放/U盘操作界面屏幕显示,USB录音放音,蓝牙功能                                                                                                                                                            每通道有高、中、低3段参量均衡器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音质优美。</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外置式低噪声电源设计。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备有录音输入输出功能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最大输出电平≥19dBm(1KHz,THD=0.5%)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剩余噪声≥-75dB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信噪比≥71dB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等效噪声源输入电动势-12dBm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耳机输出功率≥40mw(1KHz,THD=0.5%,200Ω)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均衡:低频：80Hz±15dB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中频2.5KHz±15dB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高频：12KHz±15dB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增益控制：单声道≥-55dB～0 dB。立体声≥-10dB～0dB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频率响应≥20Hz～20KHz（+1dB,-3dB)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总谐波失真+噪声：≤0.05%（1KHz，0.775V）</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开关、指示：船型开关、面板电源指示灯，监听电平指示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出厂配置：成品、说明书、合格证、保修卡、电源适配器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UHF一拖四无线会议</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功能特点：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使用UHF550MHz～980MHz频段，应用PLL频率合成锁相环技术，频率可调，发射功率可调，避免干扰频率;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集成中央处理器CPU的总线控制，配合数字液晶界面显示，操作自如，性能出众;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采用多级窄带高频及中频选频滤波，充分消除干扰信号;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采用音频压缩一扩展技术，噪音大大减少，动态范围加大;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设有回输啸叫抑制减弱功能，能有效减少回输啸叫;</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接收机采用多级高频放大，具有极高的灵敏度;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多重噪音监测电路，特设ID身份码验证系统，使之具有无与伦比的抗干扰特性;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选用极佳晶片及优质零部件，使本机音质极为出色;</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电源适配器使用电压：AC110V-230V 50Hz/60Hz（请按机壳和电源适配器标注使用）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直流输入电压：DC12—DC15V   1500mA</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消耗功率：13W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S/N信噪比：≥95dB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T.H.D失真：＜0.5%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频率响应：60Hz -16kHz                                                                                                                                                技术参数：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无线会议一拖四发射机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具备话筒咪杆与底座采用卡龙农接口，可防止底座掉落，安装更稳固                                                                                                           话筒具有抗手机，电磁干扰功能                                                                                                                               话筒杆在休会期间可以拆卸，方便设备维护                                                                                                                                         工作频率≥550MHz～980MHz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调制方式≥宽带FM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信道数目≥100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信道间隔≥300kHz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频率稳定度≥±0.005%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动态范围≥100dB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最大偏移≥±45kHz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音频频率响应≥60Hz-16kHz（±3dB）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综合信噪比：＞95dB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综合失真：≤0.5%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工作距离≥80m（在理想环境的情况下）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工作环境温度：-10℃~+50℃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UHF一拖二无线手持</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工作频率： 740MHz~790MHz</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调制方式： 宽带FM</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信道数目≤ 200</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信道间隔≤ 250kHz</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频率稳定度≤ ±0.005%</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动态范围≤ 100dB</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最大偏移≤ ±45kHz</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音频频率响应≤60Hz～16kHz (±3dB)</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导频频率： 32.768kHz</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综合信噪比： ＞105dB</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综合失真： ≤0.5%</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工作距离≤ 100m (在理想环境的情况下）</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工作环境温度： -10℃～50℃           </w:t>
            </w:r>
          </w:p>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8路电源时序器</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路电源时序器能够按照由前级到后级逐个顺序启动设备，关闭供电电源时则由后级到前级的顺序关闭用电设备，这样就能够有效的统一管理控制各类用电设备，避免了人为地失误操作。确保了整个音响用电系统运行时的稳定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具有交流电压指示显示屏                                                                                                                                         前面板提供一个维修辅助输出插座，为维修可试机提供较大方便                                                                                                                                                                 输入电压：AC220V/50Hz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额定功率≥3200W,总容量10A</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输出功率：，每路插座最大输出电流10A</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重量≥3.42KG</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规格（长*宽*高）mm≥1U 机箱</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输入方式≥3*2.5平方交流电源线，不带插头，与空气开关连接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输出方式：8路电源输出，标准通用三芯插座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功能：打开时由前级到后级逐个顺序启动，关闭时由后级到前级逐个顺序关闭，每路之间动作时间≤1.5秒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开关/指示：船型开关，面板电源指示灯，每路通电后指示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出厂配置：成品、说明书、合格证、保修卡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产品品牌需被授予省级以上“名牌产品”                                                                                                                      企业连续九年的省级守合同重信用企业证书                                                                                                                                  产品制造商被评为产品制造商被评为高新技术企业；AAA级信用企业；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产品制造商厂家获得质量、环境、职业健康安全三个管理体系一体整合认证                                                                                                    为防止OEM或拼装产品，制造商名称的委托人、生产者、生产企业三者须一致</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为防止OEM或拼装产品，制造商名称的委托人、生产者、生产企业三者须一致</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线材及辅材</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高清线材、2米机柜一个、网络线及其他辅材。</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44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施工</w:t>
            </w:r>
          </w:p>
        </w:tc>
        <w:tc>
          <w:tcPr>
            <w:tcW w:w="70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系统集成、施工及培训。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5" w:type="dxa"/>
            <w:tcBorders>
              <w:top w:val="nil"/>
              <w:left w:val="nil"/>
              <w:bottom w:val="single" w:color="auto" w:sz="4" w:space="0"/>
              <w:right w:val="single" w:color="auto" w:sz="4" w:space="0"/>
            </w:tcBorders>
          </w:tcPr>
          <w:p>
            <w:pPr>
              <w:widowControl/>
              <w:jc w:val="center"/>
              <w:rPr>
                <w:rFonts w:ascii="宋体" w:hAnsi="宋体" w:eastAsia="宋体" w:cs="宋体"/>
                <w:kern w:val="0"/>
                <w:sz w:val="24"/>
                <w:szCs w:val="24"/>
              </w:rPr>
            </w:pPr>
            <w:bookmarkStart w:id="0" w:name="_GoBack"/>
            <w:bookmarkEnd w:id="0"/>
          </w:p>
        </w:tc>
      </w:tr>
      <w:tr>
        <w:tblPrEx>
          <w:tblLayout w:type="fixed"/>
          <w:tblCellMar>
            <w:top w:w="0" w:type="dxa"/>
            <w:left w:w="108" w:type="dxa"/>
            <w:bottom w:w="0" w:type="dxa"/>
            <w:right w:w="108" w:type="dxa"/>
          </w:tblCellMar>
        </w:tblPrEx>
        <w:trPr>
          <w:trHeight w:val="736"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总金额</w:t>
            </w:r>
          </w:p>
        </w:tc>
        <w:tc>
          <w:tcPr>
            <w:tcW w:w="7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7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900</w:t>
            </w:r>
            <w:r>
              <w:rPr>
                <w:rFonts w:hint="eastAsia" w:ascii="宋体" w:hAnsi="宋体" w:eastAsia="宋体" w:cs="宋体"/>
                <w:kern w:val="0"/>
                <w:sz w:val="24"/>
                <w:szCs w:val="24"/>
              </w:rPr>
              <w:t>00</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64"/>
    <w:rsid w:val="0005341E"/>
    <w:rsid w:val="00075172"/>
    <w:rsid w:val="001C729B"/>
    <w:rsid w:val="007A17C6"/>
    <w:rsid w:val="007C44C5"/>
    <w:rsid w:val="007C5973"/>
    <w:rsid w:val="00914BC7"/>
    <w:rsid w:val="00A93D48"/>
    <w:rsid w:val="00B316B2"/>
    <w:rsid w:val="00BE3264"/>
    <w:rsid w:val="00D07FA4"/>
    <w:rsid w:val="02594251"/>
    <w:rsid w:val="0850374F"/>
    <w:rsid w:val="0DA63227"/>
    <w:rsid w:val="0DAD4D68"/>
    <w:rsid w:val="35261AB2"/>
    <w:rsid w:val="6372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1384</Words>
  <Characters>7889</Characters>
  <Lines>65</Lines>
  <Paragraphs>18</Paragraphs>
  <ScaleCrop>false</ScaleCrop>
  <LinksUpToDate>false</LinksUpToDate>
  <CharactersWithSpaces>9255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2019-07-30T12:57:00Z</dcterms:created>
  <dc:creator>JonMMx 2000</dc:creator>
  <cp:lastModifiedBy>Administrator</cp:lastModifiedBy>
  <dcterms:modified xsi:type="dcterms:W3CDTF">2019-11-19T01:47:52Z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