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A7A" w:rsidRDefault="00334A7A"/>
    <w:p w:rsidR="00334A7A" w:rsidRDefault="00D9787F">
      <w:pPr>
        <w:numPr>
          <w:ilvl w:val="0"/>
          <w:numId w:val="1"/>
        </w:numPr>
        <w:spacing w:line="360" w:lineRule="auto"/>
        <w:rPr>
          <w:rFonts w:ascii="仿宋_GB2312" w:eastAsia="仿宋_GB2312" w:hAnsi="等线" w:cs="宋体"/>
          <w:b/>
          <w:bCs/>
          <w:color w:val="000000"/>
          <w:kern w:val="0"/>
          <w:szCs w:val="21"/>
        </w:rPr>
      </w:pPr>
      <w:r>
        <w:rPr>
          <w:rFonts w:ascii="仿宋_GB2312" w:eastAsia="仿宋_GB2312" w:hAnsi="等线" w:cs="宋体" w:hint="eastAsia"/>
          <w:b/>
          <w:bCs/>
          <w:color w:val="000000"/>
          <w:kern w:val="0"/>
          <w:szCs w:val="21"/>
        </w:rPr>
        <w:t>企业</w:t>
      </w:r>
    </w:p>
    <w:p w:rsidR="00334A7A" w:rsidRDefault="00D9787F">
      <w:pPr>
        <w:numPr>
          <w:ilvl w:val="0"/>
          <w:numId w:val="2"/>
        </w:numPr>
        <w:spacing w:line="360" w:lineRule="auto"/>
        <w:rPr>
          <w:rFonts w:ascii="仿宋_GB2312" w:eastAsia="仿宋_GB2312" w:hAnsi="等线" w:cs="宋体"/>
          <w:color w:val="000000"/>
          <w:kern w:val="0"/>
          <w:szCs w:val="21"/>
        </w:rPr>
      </w:pPr>
      <w:r>
        <w:rPr>
          <w:rFonts w:ascii="仿宋_GB2312" w:eastAsia="仿宋_GB2312" w:hAnsi="等线" w:cs="宋体" w:hint="eastAsia"/>
          <w:color w:val="000000"/>
          <w:kern w:val="0"/>
          <w:szCs w:val="21"/>
        </w:rPr>
        <w:t>投标人具有ISP《第一类增值电信业务中的互联网接入服务业务》与IDC《第一类增值电信业务中的互联网数据中心业务》</w:t>
      </w:r>
      <w:r w:rsidR="004A1D26">
        <w:rPr>
          <w:rFonts w:ascii="仿宋_GB2312" w:eastAsia="仿宋_GB2312" w:hAnsi="等线" w:cs="宋体" w:hint="eastAsia"/>
          <w:color w:val="000000"/>
          <w:kern w:val="0"/>
          <w:szCs w:val="21"/>
        </w:rPr>
        <w:t>。</w:t>
      </w:r>
    </w:p>
    <w:p w:rsidR="00334A7A" w:rsidRDefault="0014485B">
      <w:pPr>
        <w:numPr>
          <w:ilvl w:val="0"/>
          <w:numId w:val="2"/>
        </w:numPr>
        <w:spacing w:line="360" w:lineRule="auto"/>
        <w:rPr>
          <w:rFonts w:ascii="仿宋_GB2312" w:eastAsia="仿宋_GB2312" w:hAnsi="等线" w:cs="宋体"/>
          <w:color w:val="000000"/>
          <w:kern w:val="0"/>
          <w:szCs w:val="21"/>
        </w:rPr>
      </w:pPr>
      <w:r>
        <w:rPr>
          <w:rFonts w:ascii="仿宋_GB2312" w:eastAsia="仿宋_GB2312" w:hAnsi="等线" w:cs="宋体" w:hint="eastAsia"/>
          <w:color w:val="000000"/>
          <w:kern w:val="0"/>
          <w:szCs w:val="21"/>
        </w:rPr>
        <w:t>投标人</w:t>
      </w:r>
      <w:r w:rsidR="00D9787F">
        <w:rPr>
          <w:rFonts w:ascii="仿宋_GB2312" w:eastAsia="仿宋_GB2312" w:hAnsi="等线" w:cs="宋体" w:hint="eastAsia"/>
          <w:color w:val="000000"/>
          <w:kern w:val="0"/>
          <w:szCs w:val="21"/>
        </w:rPr>
        <w:t>能提供增值税专用发票</w:t>
      </w:r>
      <w:r w:rsidR="004A1D26">
        <w:rPr>
          <w:rFonts w:ascii="仿宋_GB2312" w:eastAsia="仿宋_GB2312" w:hAnsi="等线" w:cs="宋体" w:hint="eastAsia"/>
          <w:color w:val="000000"/>
          <w:kern w:val="0"/>
          <w:szCs w:val="21"/>
        </w:rPr>
        <w:t>。</w:t>
      </w:r>
    </w:p>
    <w:p w:rsidR="00334A7A" w:rsidRDefault="00D9787F">
      <w:pPr>
        <w:numPr>
          <w:ilvl w:val="0"/>
          <w:numId w:val="1"/>
        </w:numPr>
        <w:spacing w:line="360" w:lineRule="auto"/>
        <w:rPr>
          <w:rFonts w:ascii="仿宋_GB2312" w:eastAsia="仿宋_GB2312" w:hAnsi="等线" w:cs="宋体"/>
          <w:color w:val="000000"/>
          <w:kern w:val="0"/>
          <w:szCs w:val="21"/>
        </w:rPr>
      </w:pPr>
      <w:r>
        <w:rPr>
          <w:rFonts w:ascii="仿宋_GB2312" w:eastAsia="仿宋_GB2312" w:hAnsi="等线" w:cs="宋体" w:hint="eastAsia"/>
          <w:color w:val="000000"/>
          <w:kern w:val="0"/>
          <w:szCs w:val="21"/>
        </w:rPr>
        <w:t>项目具体需求</w:t>
      </w:r>
    </w:p>
    <w:p w:rsidR="00334A7A" w:rsidRDefault="00D9787F">
      <w:pPr>
        <w:numPr>
          <w:ilvl w:val="0"/>
          <w:numId w:val="3"/>
        </w:numPr>
        <w:spacing w:line="360" w:lineRule="auto"/>
        <w:rPr>
          <w:rFonts w:ascii="仿宋_GB2312" w:eastAsia="仿宋_GB2312" w:hAnsi="等线" w:cs="宋体"/>
          <w:color w:val="000000"/>
          <w:kern w:val="0"/>
          <w:szCs w:val="21"/>
        </w:rPr>
      </w:pPr>
      <w:r>
        <w:rPr>
          <w:rFonts w:ascii="仿宋_GB2312" w:eastAsia="仿宋_GB2312" w:hAnsi="等线" w:cs="宋体" w:hint="eastAsia"/>
          <w:color w:val="000000"/>
          <w:kern w:val="0"/>
          <w:szCs w:val="21"/>
        </w:rPr>
        <w:t>定级备案</w:t>
      </w:r>
    </w:p>
    <w:p w:rsidR="00334A7A" w:rsidRDefault="00D9787F">
      <w:pPr>
        <w:pStyle w:val="a4"/>
        <w:spacing w:line="520" w:lineRule="exact"/>
        <w:ind w:firstLine="480"/>
        <w:jc w:val="left"/>
        <w:rPr>
          <w:rFonts w:ascii="仿宋_GB2312" w:eastAsia="仿宋_GB2312" w:hAnsi="等线" w:cs="宋体"/>
          <w:color w:val="000000"/>
          <w:kern w:val="0"/>
          <w:szCs w:val="21"/>
        </w:rPr>
      </w:pPr>
      <w:r>
        <w:rPr>
          <w:rFonts w:ascii="仿宋_GB2312" w:eastAsia="仿宋_GB2312" w:hAnsi="等线" w:cs="宋体" w:hint="eastAsia"/>
          <w:color w:val="000000"/>
          <w:kern w:val="0"/>
          <w:sz w:val="21"/>
          <w:szCs w:val="21"/>
        </w:rPr>
        <w:t>依据 GB/T 22240《网络安全等级保护定级指南》,指导相关人员编制未备案系统的定级报告，聘请专家进行专家评审，定级备案材料的准备等</w:t>
      </w:r>
      <w:r w:rsidR="00E80FEA">
        <w:rPr>
          <w:rFonts w:ascii="仿宋_GB2312" w:eastAsia="仿宋_GB2312" w:hAnsi="等线" w:cs="宋体" w:hint="eastAsia"/>
          <w:color w:val="000000"/>
          <w:kern w:val="0"/>
          <w:sz w:val="21"/>
          <w:szCs w:val="21"/>
        </w:rPr>
        <w:t>（一切费用由中标人包干）</w:t>
      </w:r>
      <w:r>
        <w:rPr>
          <w:rFonts w:ascii="仿宋_GB2312" w:eastAsia="仿宋_GB2312" w:hAnsi="等线" w:cs="宋体" w:hint="eastAsia"/>
          <w:color w:val="000000"/>
          <w:kern w:val="0"/>
          <w:sz w:val="21"/>
          <w:szCs w:val="21"/>
        </w:rPr>
        <w:t>。</w:t>
      </w:r>
    </w:p>
    <w:p w:rsidR="00334A7A" w:rsidRDefault="00D9787F">
      <w:pPr>
        <w:pStyle w:val="a8"/>
        <w:numPr>
          <w:ilvl w:val="0"/>
          <w:numId w:val="4"/>
        </w:numPr>
        <w:spacing w:line="360" w:lineRule="auto"/>
        <w:ind w:firstLineChars="0"/>
        <w:rPr>
          <w:rFonts w:ascii="仿宋_GB2312" w:eastAsia="仿宋_GB2312" w:hAnsi="等线" w:cs="宋体"/>
          <w:color w:val="000000"/>
          <w:kern w:val="0"/>
          <w:szCs w:val="21"/>
        </w:rPr>
      </w:pPr>
      <w:r>
        <w:rPr>
          <w:rFonts w:ascii="仿宋_GB2312" w:eastAsia="仿宋_GB2312" w:hAnsi="等线" w:cs="宋体" w:hint="eastAsia"/>
          <w:color w:val="000000"/>
          <w:kern w:val="0"/>
          <w:szCs w:val="21"/>
        </w:rPr>
        <w:t>需审核系统初步确定的安全等级，提出审核意见</w:t>
      </w:r>
    </w:p>
    <w:p w:rsidR="00334A7A" w:rsidRDefault="00D9787F">
      <w:pPr>
        <w:pStyle w:val="a8"/>
        <w:numPr>
          <w:ilvl w:val="0"/>
          <w:numId w:val="4"/>
        </w:numPr>
        <w:spacing w:line="360" w:lineRule="auto"/>
        <w:ind w:firstLineChars="0"/>
        <w:rPr>
          <w:rFonts w:ascii="仿宋_GB2312" w:eastAsia="仿宋_GB2312" w:hAnsi="等线" w:cs="宋体"/>
          <w:color w:val="000000"/>
          <w:kern w:val="0"/>
          <w:szCs w:val="21"/>
        </w:rPr>
      </w:pPr>
      <w:r>
        <w:rPr>
          <w:rFonts w:ascii="仿宋_GB2312" w:eastAsia="仿宋_GB2312" w:hAnsi="等线" w:cs="宋体" w:hint="eastAsia"/>
          <w:color w:val="000000"/>
          <w:kern w:val="0"/>
          <w:szCs w:val="21"/>
        </w:rPr>
        <w:t>需要针对已确定安全等级但尚未备案的业务系统，指导编写系统定级报告。 针对发生安全等级变更的业务系统，进行重新定级。</w:t>
      </w:r>
    </w:p>
    <w:p w:rsidR="00334A7A" w:rsidRDefault="00D9787F">
      <w:pPr>
        <w:pStyle w:val="a8"/>
        <w:numPr>
          <w:ilvl w:val="0"/>
          <w:numId w:val="4"/>
        </w:numPr>
        <w:spacing w:line="360" w:lineRule="auto"/>
        <w:ind w:firstLineChars="0"/>
        <w:rPr>
          <w:rFonts w:ascii="仿宋_GB2312" w:eastAsia="仿宋_GB2312" w:hAnsi="等线" w:cs="宋体"/>
          <w:color w:val="000000"/>
          <w:kern w:val="0"/>
          <w:szCs w:val="21"/>
        </w:rPr>
      </w:pPr>
      <w:r>
        <w:rPr>
          <w:rFonts w:ascii="仿宋_GB2312" w:eastAsia="仿宋_GB2312" w:hAnsi="等线" w:cs="宋体" w:hint="eastAsia"/>
          <w:color w:val="000000"/>
          <w:kern w:val="0"/>
          <w:szCs w:val="21"/>
        </w:rPr>
        <w:t>聘请专家，提供定级意见</w:t>
      </w:r>
      <w:r w:rsidR="00E80FEA">
        <w:rPr>
          <w:rFonts w:ascii="仿宋_GB2312" w:eastAsia="仿宋_GB2312" w:hAnsi="等线" w:cs="宋体" w:hint="eastAsia"/>
          <w:color w:val="000000"/>
          <w:kern w:val="0"/>
          <w:szCs w:val="21"/>
        </w:rPr>
        <w:t>（一切费用由中标人包干）</w:t>
      </w:r>
      <w:r>
        <w:rPr>
          <w:rFonts w:ascii="仿宋_GB2312" w:eastAsia="仿宋_GB2312" w:hAnsi="等线" w:cs="宋体" w:hint="eastAsia"/>
          <w:color w:val="000000"/>
          <w:kern w:val="0"/>
          <w:szCs w:val="21"/>
        </w:rPr>
        <w:t>。</w:t>
      </w:r>
    </w:p>
    <w:p w:rsidR="00334A7A" w:rsidRDefault="00D9787F">
      <w:pPr>
        <w:pStyle w:val="a8"/>
        <w:numPr>
          <w:ilvl w:val="0"/>
          <w:numId w:val="4"/>
        </w:numPr>
        <w:spacing w:line="360" w:lineRule="auto"/>
        <w:ind w:firstLineChars="0"/>
        <w:rPr>
          <w:rFonts w:ascii="仿宋_GB2312" w:eastAsia="仿宋_GB2312" w:hAnsi="等线" w:cs="宋体"/>
          <w:color w:val="000000"/>
          <w:kern w:val="0"/>
          <w:szCs w:val="21"/>
        </w:rPr>
      </w:pPr>
      <w:r>
        <w:rPr>
          <w:rFonts w:ascii="仿宋_GB2312" w:eastAsia="仿宋_GB2312" w:hAnsi="等线" w:cs="宋体" w:hint="eastAsia"/>
          <w:color w:val="000000"/>
          <w:kern w:val="0"/>
          <w:szCs w:val="21"/>
        </w:rPr>
        <w:t>其他定级备案材料准备</w:t>
      </w:r>
      <w:r w:rsidR="00E80FEA">
        <w:rPr>
          <w:rFonts w:ascii="仿宋_GB2312" w:eastAsia="仿宋_GB2312" w:hAnsi="等线" w:cs="宋体" w:hint="eastAsia"/>
          <w:color w:val="000000"/>
          <w:kern w:val="0"/>
          <w:szCs w:val="21"/>
        </w:rPr>
        <w:t>（一切费用由中标人包干）</w:t>
      </w:r>
      <w:bookmarkStart w:id="0" w:name="_GoBack"/>
      <w:bookmarkEnd w:id="0"/>
      <w:r>
        <w:rPr>
          <w:rFonts w:ascii="仿宋_GB2312" w:eastAsia="仿宋_GB2312" w:hAnsi="等线" w:cs="宋体" w:hint="eastAsia"/>
          <w:color w:val="000000"/>
          <w:kern w:val="0"/>
          <w:szCs w:val="21"/>
        </w:rPr>
        <w:t>。</w:t>
      </w:r>
    </w:p>
    <w:p w:rsidR="00334A7A" w:rsidRDefault="00D9787F">
      <w:pPr>
        <w:numPr>
          <w:ilvl w:val="0"/>
          <w:numId w:val="3"/>
        </w:numPr>
        <w:spacing w:line="360" w:lineRule="auto"/>
        <w:rPr>
          <w:rFonts w:ascii="仿宋_GB2312" w:eastAsia="仿宋_GB2312" w:hAnsi="等线" w:cs="宋体"/>
          <w:color w:val="000000"/>
          <w:kern w:val="0"/>
          <w:szCs w:val="21"/>
        </w:rPr>
      </w:pPr>
      <w:proofErr w:type="gramStart"/>
      <w:r>
        <w:rPr>
          <w:rFonts w:ascii="仿宋_GB2312" w:eastAsia="仿宋_GB2312" w:hAnsi="等线" w:cs="宋体" w:hint="eastAsia"/>
          <w:color w:val="000000"/>
          <w:kern w:val="0"/>
          <w:szCs w:val="21"/>
        </w:rPr>
        <w:t>安全等保</w:t>
      </w:r>
      <w:r>
        <w:rPr>
          <w:rFonts w:ascii="仿宋_GB2312" w:eastAsia="仿宋_GB2312" w:hAnsi="等线" w:cs="宋体"/>
          <w:color w:val="000000"/>
          <w:kern w:val="0"/>
          <w:szCs w:val="21"/>
        </w:rPr>
        <w:t>咨询</w:t>
      </w:r>
      <w:proofErr w:type="gramEnd"/>
    </w:p>
    <w:p w:rsidR="00334A7A" w:rsidRDefault="00D9787F">
      <w:pPr>
        <w:spacing w:line="360" w:lineRule="auto"/>
        <w:ind w:firstLine="420"/>
        <w:rPr>
          <w:rFonts w:ascii="仿宋_GB2312" w:eastAsia="仿宋_GB2312" w:hAnsi="等线" w:cs="宋体"/>
          <w:color w:val="000000"/>
          <w:kern w:val="0"/>
          <w:szCs w:val="21"/>
        </w:rPr>
      </w:pPr>
      <w:r>
        <w:rPr>
          <w:rFonts w:ascii="仿宋_GB2312" w:eastAsia="仿宋_GB2312" w:hAnsi="等线" w:cs="宋体" w:hint="eastAsia"/>
          <w:color w:val="000000"/>
          <w:kern w:val="0"/>
          <w:szCs w:val="21"/>
        </w:rPr>
        <w:t>需要摸清被测系统所属企业信息资产等基础网络环境，了解企业网络安全工作情况和安全责任制落实情况，贯彻落实等级保护制度情况；</w:t>
      </w:r>
    </w:p>
    <w:p w:rsidR="00334A7A" w:rsidRDefault="00D9787F">
      <w:pPr>
        <w:spacing w:line="360" w:lineRule="auto"/>
        <w:ind w:firstLine="420"/>
        <w:rPr>
          <w:rFonts w:ascii="仿宋_GB2312" w:eastAsia="仿宋_GB2312" w:hAnsi="等线" w:cs="宋体"/>
          <w:color w:val="000000"/>
          <w:kern w:val="0"/>
          <w:szCs w:val="21"/>
        </w:rPr>
      </w:pPr>
      <w:r>
        <w:rPr>
          <w:rFonts w:ascii="仿宋_GB2312" w:eastAsia="仿宋_GB2312" w:hAnsi="等线" w:cs="宋体" w:hint="eastAsia"/>
          <w:color w:val="000000"/>
          <w:kern w:val="0"/>
          <w:szCs w:val="21"/>
        </w:rPr>
        <w:t>从网络安全结构、网络访问控制、网络安全设计、边界完整性检查、网络入侵防范、恶意代码防范、网络设备保护、</w:t>
      </w:r>
      <w:r>
        <w:rPr>
          <w:rFonts w:ascii="仿宋_GB2312" w:eastAsia="仿宋_GB2312" w:hAnsi="等线" w:cs="宋体"/>
          <w:color w:val="000000"/>
          <w:kern w:val="0"/>
          <w:szCs w:val="21"/>
        </w:rPr>
        <w:t>制度建设</w:t>
      </w:r>
      <w:r>
        <w:rPr>
          <w:rFonts w:ascii="仿宋_GB2312" w:eastAsia="仿宋_GB2312" w:hAnsi="等线" w:cs="宋体" w:hint="eastAsia"/>
          <w:color w:val="000000"/>
          <w:kern w:val="0"/>
          <w:szCs w:val="21"/>
        </w:rPr>
        <w:t>等方面进行开展咨询。</w:t>
      </w:r>
    </w:p>
    <w:p w:rsidR="00334A7A" w:rsidRDefault="00D9787F">
      <w:pPr>
        <w:numPr>
          <w:ilvl w:val="0"/>
          <w:numId w:val="3"/>
        </w:numPr>
        <w:spacing w:line="360" w:lineRule="auto"/>
        <w:rPr>
          <w:rFonts w:ascii="仿宋_GB2312" w:eastAsia="仿宋_GB2312" w:hAnsi="等线" w:cs="宋体"/>
          <w:color w:val="000000"/>
          <w:kern w:val="0"/>
          <w:szCs w:val="21"/>
        </w:rPr>
      </w:pPr>
      <w:r>
        <w:rPr>
          <w:rFonts w:ascii="仿宋_GB2312" w:eastAsia="仿宋_GB2312" w:hAnsi="等线" w:cs="宋体" w:hint="eastAsia"/>
          <w:color w:val="000000"/>
          <w:kern w:val="0"/>
          <w:szCs w:val="21"/>
        </w:rPr>
        <w:t>网络安全等级保护测评</w:t>
      </w:r>
    </w:p>
    <w:p w:rsidR="00334A7A" w:rsidRDefault="00D9787F">
      <w:pPr>
        <w:spacing w:line="360" w:lineRule="auto"/>
        <w:ind w:firstLine="420"/>
        <w:rPr>
          <w:rFonts w:ascii="仿宋_GB2312" w:eastAsia="仿宋_GB2312"/>
          <w:sz w:val="28"/>
          <w:szCs w:val="28"/>
        </w:rPr>
      </w:pPr>
      <w:r>
        <w:rPr>
          <w:rFonts w:ascii="仿宋_GB2312" w:eastAsia="仿宋_GB2312" w:hAnsi="等线" w:cs="宋体" w:hint="eastAsia"/>
          <w:color w:val="000000"/>
          <w:kern w:val="0"/>
          <w:szCs w:val="21"/>
        </w:rPr>
        <w:t>调研和测评方案编制阶段，通过下发调研表获取被测系统的基本情况，掌握系统运行的环境，实际掌握网络设备、安全设备、服务器、数据库、应用系统、操作终端和管理制度等信息，并编制</w:t>
      </w:r>
      <w:proofErr w:type="gramStart"/>
      <w:r>
        <w:rPr>
          <w:rFonts w:ascii="仿宋_GB2312" w:eastAsia="仿宋_GB2312" w:hAnsi="等线" w:cs="宋体" w:hint="eastAsia"/>
          <w:color w:val="000000"/>
          <w:kern w:val="0"/>
          <w:szCs w:val="21"/>
        </w:rPr>
        <w:t>等保咨询</w:t>
      </w:r>
      <w:proofErr w:type="gramEnd"/>
      <w:r>
        <w:rPr>
          <w:rFonts w:ascii="仿宋_GB2312" w:eastAsia="仿宋_GB2312" w:hAnsi="等线" w:cs="宋体" w:hint="eastAsia"/>
          <w:color w:val="000000"/>
          <w:kern w:val="0"/>
          <w:szCs w:val="21"/>
        </w:rPr>
        <w:t>测评</w:t>
      </w:r>
      <w:r>
        <w:rPr>
          <w:rFonts w:ascii="仿宋_GB2312" w:eastAsia="仿宋_GB2312" w:hAnsi="等线" w:cs="宋体"/>
          <w:color w:val="000000"/>
          <w:kern w:val="0"/>
          <w:szCs w:val="21"/>
        </w:rPr>
        <w:t>计划</w:t>
      </w:r>
      <w:r>
        <w:rPr>
          <w:rFonts w:ascii="仿宋_GB2312" w:eastAsia="仿宋_GB2312" w:hAnsi="等线" w:cs="宋体" w:hint="eastAsia"/>
          <w:color w:val="000000"/>
          <w:kern w:val="0"/>
          <w:szCs w:val="21"/>
        </w:rPr>
        <w:t>；</w:t>
      </w:r>
    </w:p>
    <w:p w:rsidR="00334A7A" w:rsidRDefault="00D9787F">
      <w:pPr>
        <w:spacing w:line="360" w:lineRule="auto"/>
        <w:ind w:firstLine="420"/>
        <w:rPr>
          <w:rFonts w:ascii="仿宋_GB2312" w:eastAsia="仿宋_GB2312" w:hAnsi="等线" w:cs="宋体"/>
          <w:color w:val="000000"/>
          <w:kern w:val="0"/>
          <w:szCs w:val="21"/>
        </w:rPr>
      </w:pPr>
      <w:r>
        <w:rPr>
          <w:rFonts w:ascii="仿宋_GB2312" w:eastAsia="仿宋_GB2312" w:hAnsi="等线" w:cs="宋体" w:hint="eastAsia"/>
          <w:color w:val="000000"/>
          <w:kern w:val="0"/>
          <w:szCs w:val="21"/>
        </w:rPr>
        <w:t>差距</w:t>
      </w:r>
      <w:r>
        <w:rPr>
          <w:rFonts w:ascii="仿宋_GB2312" w:eastAsia="仿宋_GB2312" w:hAnsi="等线" w:cs="宋体"/>
          <w:color w:val="000000"/>
          <w:kern w:val="0"/>
          <w:szCs w:val="21"/>
        </w:rPr>
        <w:t>分析</w:t>
      </w:r>
      <w:r>
        <w:rPr>
          <w:rFonts w:ascii="仿宋_GB2312" w:eastAsia="仿宋_GB2312" w:hAnsi="等线" w:cs="宋体" w:hint="eastAsia"/>
          <w:color w:val="000000"/>
          <w:kern w:val="0"/>
          <w:szCs w:val="21"/>
        </w:rPr>
        <w:t>阶段，根据测评方案从网络安全、主机安全、应用安全、数据安全、安全管理等方面对信息系统进行测评，完成差距分析：</w:t>
      </w:r>
    </w:p>
    <w:p w:rsidR="00334A7A" w:rsidRDefault="00D9787F">
      <w:pPr>
        <w:pStyle w:val="a8"/>
        <w:tabs>
          <w:tab w:val="left" w:pos="914"/>
        </w:tabs>
        <w:spacing w:before="119" w:line="278" w:lineRule="auto"/>
        <w:ind w:left="492" w:right="208" w:firstLineChars="0" w:firstLine="0"/>
        <w:rPr>
          <w:rFonts w:ascii="仿宋_GB2312" w:eastAsia="仿宋_GB2312" w:hAnsi="等线" w:cs="宋体"/>
          <w:color w:val="000000"/>
          <w:kern w:val="0"/>
          <w:szCs w:val="21"/>
          <w:lang w:val="zh-CN"/>
        </w:rPr>
      </w:pPr>
      <w:r>
        <w:rPr>
          <w:rFonts w:ascii="仿宋_GB2312" w:eastAsia="仿宋_GB2312" w:hAnsi="等线" w:cs="宋体" w:hint="eastAsia"/>
          <w:color w:val="000000"/>
          <w:kern w:val="0"/>
          <w:szCs w:val="21"/>
          <w:lang w:val="zh-CN"/>
        </w:rPr>
        <w:t>技术层面的差距评估（</w:t>
      </w:r>
      <w:r>
        <w:rPr>
          <w:rFonts w:ascii="仿宋_GB2312" w:eastAsia="仿宋_GB2312" w:hAnsi="等线" w:cs="宋体" w:hint="eastAsia"/>
          <w:color w:val="000000"/>
          <w:kern w:val="0"/>
          <w:szCs w:val="21"/>
        </w:rPr>
        <w:t>三</w:t>
      </w:r>
      <w:r>
        <w:rPr>
          <w:rFonts w:ascii="仿宋_GB2312" w:eastAsia="仿宋_GB2312" w:hAnsi="等线" w:cs="宋体" w:hint="eastAsia"/>
          <w:color w:val="000000"/>
          <w:kern w:val="0"/>
          <w:szCs w:val="21"/>
          <w:lang w:val="zh-CN"/>
        </w:rPr>
        <w:t>级）内容：</w:t>
      </w:r>
    </w:p>
    <w:p w:rsidR="00334A7A" w:rsidRDefault="00D9787F">
      <w:pPr>
        <w:pStyle w:val="a8"/>
        <w:numPr>
          <w:ilvl w:val="0"/>
          <w:numId w:val="4"/>
        </w:numPr>
        <w:spacing w:line="360" w:lineRule="auto"/>
        <w:ind w:firstLineChars="0"/>
        <w:rPr>
          <w:rFonts w:ascii="仿宋_GB2312" w:eastAsia="仿宋_GB2312" w:hAnsi="等线" w:cs="宋体"/>
          <w:color w:val="000000"/>
          <w:kern w:val="0"/>
          <w:szCs w:val="21"/>
          <w:lang w:val="zh-CN"/>
        </w:rPr>
      </w:pPr>
      <w:r>
        <w:rPr>
          <w:rFonts w:ascii="仿宋_GB2312" w:eastAsia="仿宋_GB2312" w:hAnsi="等线" w:cs="宋体" w:hint="eastAsia"/>
          <w:color w:val="000000"/>
          <w:kern w:val="0"/>
          <w:szCs w:val="21"/>
          <w:lang w:val="zh-CN"/>
        </w:rPr>
        <w:t>安全物理环境：物理位置选择、物理访问控制、防盗窃和防破坏、防雷击、防火、防水和防潮、防静电、温湿度控制、电力供应、电磁防护。</w:t>
      </w:r>
    </w:p>
    <w:p w:rsidR="00334A7A" w:rsidRDefault="00D9787F">
      <w:pPr>
        <w:pStyle w:val="a8"/>
        <w:numPr>
          <w:ilvl w:val="0"/>
          <w:numId w:val="4"/>
        </w:numPr>
        <w:spacing w:line="360" w:lineRule="auto"/>
        <w:ind w:firstLineChars="0"/>
        <w:rPr>
          <w:rFonts w:ascii="仿宋_GB2312" w:eastAsia="仿宋_GB2312" w:hAnsi="等线" w:cs="宋体"/>
          <w:color w:val="000000"/>
          <w:kern w:val="0"/>
          <w:szCs w:val="21"/>
          <w:lang w:val="zh-CN"/>
        </w:rPr>
      </w:pPr>
      <w:r>
        <w:rPr>
          <w:rFonts w:ascii="仿宋_GB2312" w:eastAsia="仿宋_GB2312" w:hAnsi="等线" w:cs="宋体" w:hint="eastAsia"/>
          <w:color w:val="000000"/>
          <w:kern w:val="0"/>
          <w:szCs w:val="21"/>
          <w:lang w:val="zh-CN"/>
        </w:rPr>
        <w:t>安全通信网络：网络架构、通信传输、可信验证。</w:t>
      </w:r>
    </w:p>
    <w:p w:rsidR="00334A7A" w:rsidRDefault="00D9787F">
      <w:pPr>
        <w:pStyle w:val="a8"/>
        <w:numPr>
          <w:ilvl w:val="0"/>
          <w:numId w:val="4"/>
        </w:numPr>
        <w:spacing w:line="360" w:lineRule="auto"/>
        <w:ind w:firstLineChars="0"/>
        <w:rPr>
          <w:rFonts w:ascii="仿宋_GB2312" w:eastAsia="仿宋_GB2312" w:hAnsi="等线" w:cs="宋体"/>
          <w:color w:val="000000"/>
          <w:kern w:val="0"/>
          <w:szCs w:val="21"/>
          <w:lang w:val="zh-CN"/>
        </w:rPr>
      </w:pPr>
      <w:r>
        <w:rPr>
          <w:rFonts w:ascii="仿宋_GB2312" w:eastAsia="仿宋_GB2312" w:hAnsi="等线" w:cs="宋体" w:hint="eastAsia"/>
          <w:color w:val="000000"/>
          <w:kern w:val="0"/>
          <w:szCs w:val="21"/>
          <w:lang w:val="zh-CN"/>
        </w:rPr>
        <w:t>安全区域边界：边界防护、访问控制、入侵防范、恶意代码和垃圾邮件防范、安全审</w:t>
      </w:r>
      <w:r>
        <w:rPr>
          <w:rFonts w:ascii="仿宋_GB2312" w:eastAsia="仿宋_GB2312" w:hAnsi="等线" w:cs="宋体" w:hint="eastAsia"/>
          <w:color w:val="000000"/>
          <w:kern w:val="0"/>
          <w:szCs w:val="21"/>
          <w:lang w:val="zh-CN"/>
        </w:rPr>
        <w:lastRenderedPageBreak/>
        <w:t>计、可信验证。</w:t>
      </w:r>
    </w:p>
    <w:p w:rsidR="00334A7A" w:rsidRDefault="00D9787F">
      <w:pPr>
        <w:pStyle w:val="a8"/>
        <w:numPr>
          <w:ilvl w:val="0"/>
          <w:numId w:val="4"/>
        </w:numPr>
        <w:spacing w:line="360" w:lineRule="auto"/>
        <w:ind w:firstLineChars="0"/>
        <w:rPr>
          <w:rFonts w:ascii="仿宋_GB2312" w:eastAsia="仿宋_GB2312" w:hAnsi="等线" w:cs="宋体"/>
          <w:color w:val="000000"/>
          <w:kern w:val="0"/>
          <w:szCs w:val="21"/>
          <w:lang w:val="zh-CN"/>
        </w:rPr>
      </w:pPr>
      <w:r>
        <w:rPr>
          <w:rFonts w:ascii="仿宋_GB2312" w:eastAsia="仿宋_GB2312" w:hAnsi="等线" w:cs="宋体" w:hint="eastAsia"/>
          <w:color w:val="000000"/>
          <w:kern w:val="0"/>
          <w:szCs w:val="21"/>
          <w:lang w:val="zh-CN"/>
        </w:rPr>
        <w:t>安全计算环境：身份鉴别、访问控制、安全审计、入侵防范、恶意代码防范、可信验证、数据完整性、数据保密性、数据备份恢复、剩余信息保护、个人信息保护。</w:t>
      </w:r>
    </w:p>
    <w:p w:rsidR="00334A7A" w:rsidRDefault="00D9787F">
      <w:pPr>
        <w:pStyle w:val="a8"/>
        <w:numPr>
          <w:ilvl w:val="0"/>
          <w:numId w:val="4"/>
        </w:numPr>
        <w:spacing w:line="360" w:lineRule="auto"/>
        <w:ind w:firstLineChars="0"/>
        <w:rPr>
          <w:rFonts w:ascii="仿宋_GB2312" w:eastAsia="仿宋_GB2312" w:hAnsi="等线" w:cs="宋体"/>
          <w:color w:val="000000"/>
          <w:kern w:val="0"/>
          <w:szCs w:val="21"/>
          <w:lang w:val="zh-CN"/>
        </w:rPr>
      </w:pPr>
      <w:r>
        <w:rPr>
          <w:rFonts w:ascii="仿宋_GB2312" w:eastAsia="仿宋_GB2312" w:hAnsi="等线" w:cs="宋体" w:hint="eastAsia"/>
          <w:color w:val="000000"/>
          <w:kern w:val="0"/>
          <w:szCs w:val="21"/>
          <w:lang w:val="zh-CN"/>
        </w:rPr>
        <w:t>安全管理中心：系统管理、审计管理、安全管理、集中管控。</w:t>
      </w:r>
    </w:p>
    <w:p w:rsidR="00334A7A" w:rsidRDefault="00D9787F">
      <w:pPr>
        <w:pStyle w:val="a8"/>
        <w:spacing w:line="360" w:lineRule="auto"/>
        <w:ind w:left="195"/>
        <w:rPr>
          <w:rFonts w:ascii="仿宋_GB2312" w:eastAsia="仿宋_GB2312" w:hAnsi="等线" w:cs="宋体"/>
          <w:color w:val="000000"/>
          <w:kern w:val="0"/>
          <w:szCs w:val="21"/>
          <w:lang w:val="zh-CN"/>
        </w:rPr>
      </w:pPr>
      <w:r>
        <w:rPr>
          <w:rFonts w:ascii="仿宋_GB2312" w:eastAsia="仿宋_GB2312" w:hAnsi="等线" w:cs="宋体" w:hint="eastAsia"/>
          <w:color w:val="000000"/>
          <w:kern w:val="0"/>
          <w:szCs w:val="21"/>
          <w:lang w:val="zh-CN"/>
        </w:rPr>
        <w:t>管理层面的差距评估（</w:t>
      </w:r>
      <w:r>
        <w:rPr>
          <w:rFonts w:ascii="仿宋_GB2312" w:eastAsia="仿宋_GB2312" w:hAnsi="等线" w:cs="宋体" w:hint="eastAsia"/>
          <w:color w:val="000000"/>
          <w:kern w:val="0"/>
          <w:szCs w:val="21"/>
        </w:rPr>
        <w:t>三级</w:t>
      </w:r>
      <w:r>
        <w:rPr>
          <w:rFonts w:ascii="仿宋_GB2312" w:eastAsia="仿宋_GB2312" w:hAnsi="等线" w:cs="宋体" w:hint="eastAsia"/>
          <w:color w:val="000000"/>
          <w:kern w:val="0"/>
          <w:szCs w:val="21"/>
          <w:lang w:val="zh-CN"/>
        </w:rPr>
        <w:t>）内容：</w:t>
      </w:r>
    </w:p>
    <w:p w:rsidR="00334A7A" w:rsidRDefault="00D9787F">
      <w:pPr>
        <w:pStyle w:val="a8"/>
        <w:numPr>
          <w:ilvl w:val="0"/>
          <w:numId w:val="4"/>
        </w:numPr>
        <w:spacing w:line="360" w:lineRule="auto"/>
        <w:ind w:firstLineChars="0"/>
        <w:rPr>
          <w:rFonts w:ascii="仿宋_GB2312" w:eastAsia="仿宋_GB2312" w:hAnsi="等线" w:cs="宋体"/>
          <w:color w:val="000000"/>
          <w:kern w:val="0"/>
          <w:szCs w:val="21"/>
          <w:lang w:val="zh-CN"/>
        </w:rPr>
      </w:pPr>
      <w:r>
        <w:rPr>
          <w:rFonts w:ascii="仿宋_GB2312" w:eastAsia="仿宋_GB2312" w:hAnsi="等线" w:cs="宋体" w:hint="eastAsia"/>
          <w:color w:val="000000"/>
          <w:kern w:val="0"/>
          <w:szCs w:val="21"/>
          <w:lang w:val="zh-CN"/>
        </w:rPr>
        <w:t>安全管理制度：安全策略、管理制度、制定与发布、评审与修订。</w:t>
      </w:r>
    </w:p>
    <w:p w:rsidR="00334A7A" w:rsidRDefault="00D9787F">
      <w:pPr>
        <w:pStyle w:val="a8"/>
        <w:numPr>
          <w:ilvl w:val="0"/>
          <w:numId w:val="4"/>
        </w:numPr>
        <w:spacing w:line="360" w:lineRule="auto"/>
        <w:ind w:firstLineChars="0"/>
        <w:rPr>
          <w:rFonts w:ascii="仿宋_GB2312" w:eastAsia="仿宋_GB2312" w:hAnsi="等线" w:cs="宋体"/>
          <w:color w:val="000000"/>
          <w:kern w:val="0"/>
          <w:szCs w:val="21"/>
          <w:lang w:val="zh-CN"/>
        </w:rPr>
      </w:pPr>
      <w:r>
        <w:rPr>
          <w:rFonts w:ascii="仿宋_GB2312" w:eastAsia="仿宋_GB2312" w:hAnsi="等线" w:cs="宋体" w:hint="eastAsia"/>
          <w:color w:val="000000"/>
          <w:kern w:val="0"/>
          <w:szCs w:val="21"/>
          <w:lang w:val="zh-CN"/>
        </w:rPr>
        <w:t>安全管理机构：岗位设置、人员配备、授权和审批、沟通与合作、审核和检查。</w:t>
      </w:r>
    </w:p>
    <w:p w:rsidR="00334A7A" w:rsidRDefault="00D9787F">
      <w:pPr>
        <w:pStyle w:val="a8"/>
        <w:numPr>
          <w:ilvl w:val="0"/>
          <w:numId w:val="4"/>
        </w:numPr>
        <w:spacing w:line="360" w:lineRule="auto"/>
        <w:ind w:firstLineChars="0"/>
        <w:rPr>
          <w:rFonts w:ascii="仿宋_GB2312" w:eastAsia="仿宋_GB2312" w:hAnsi="等线" w:cs="宋体"/>
          <w:color w:val="000000"/>
          <w:kern w:val="0"/>
          <w:szCs w:val="21"/>
          <w:lang w:val="zh-CN"/>
        </w:rPr>
      </w:pPr>
      <w:r>
        <w:rPr>
          <w:rFonts w:ascii="仿宋_GB2312" w:eastAsia="仿宋_GB2312" w:hAnsi="等线" w:cs="宋体" w:hint="eastAsia"/>
          <w:color w:val="000000"/>
          <w:kern w:val="0"/>
          <w:szCs w:val="21"/>
          <w:lang w:val="zh-CN"/>
        </w:rPr>
        <w:t>安全管理人员：人员录用、人员离岗、安全意识教育和培训、外部人员访问管理。</w:t>
      </w:r>
    </w:p>
    <w:p w:rsidR="00334A7A" w:rsidRDefault="00D9787F">
      <w:pPr>
        <w:pStyle w:val="a8"/>
        <w:numPr>
          <w:ilvl w:val="0"/>
          <w:numId w:val="4"/>
        </w:numPr>
        <w:spacing w:line="360" w:lineRule="auto"/>
        <w:ind w:firstLineChars="0"/>
        <w:rPr>
          <w:rFonts w:ascii="仿宋_GB2312" w:eastAsia="仿宋_GB2312" w:hAnsi="等线" w:cs="宋体"/>
          <w:color w:val="000000"/>
          <w:kern w:val="0"/>
          <w:szCs w:val="21"/>
          <w:lang w:val="zh-CN"/>
        </w:rPr>
      </w:pPr>
      <w:r>
        <w:rPr>
          <w:rFonts w:ascii="仿宋_GB2312" w:eastAsia="仿宋_GB2312" w:hAnsi="等线" w:cs="宋体" w:hint="eastAsia"/>
          <w:color w:val="000000"/>
          <w:kern w:val="0"/>
          <w:szCs w:val="21"/>
          <w:lang w:val="zh-CN"/>
        </w:rPr>
        <w:t>安全建设管理：定级和备案、安全方案设计、产品采购和使用、自行软件开发、外包软件开发、工程实施、测试验收、系统交付、等级测评、服务供应商管理。</w:t>
      </w:r>
    </w:p>
    <w:p w:rsidR="00334A7A" w:rsidRDefault="00D9787F">
      <w:pPr>
        <w:pStyle w:val="a8"/>
        <w:numPr>
          <w:ilvl w:val="0"/>
          <w:numId w:val="4"/>
        </w:numPr>
        <w:spacing w:line="360" w:lineRule="auto"/>
        <w:ind w:firstLineChars="0"/>
        <w:rPr>
          <w:rFonts w:ascii="仿宋_GB2312" w:eastAsia="仿宋_GB2312" w:hAnsi="等线" w:cs="宋体"/>
          <w:color w:val="000000"/>
          <w:kern w:val="0"/>
          <w:szCs w:val="21"/>
          <w:lang w:val="zh-CN"/>
        </w:rPr>
      </w:pPr>
      <w:proofErr w:type="gramStart"/>
      <w:r>
        <w:rPr>
          <w:rFonts w:ascii="仿宋_GB2312" w:eastAsia="仿宋_GB2312" w:hAnsi="等线" w:cs="宋体" w:hint="eastAsia"/>
          <w:color w:val="000000"/>
          <w:kern w:val="0"/>
          <w:szCs w:val="21"/>
          <w:lang w:val="zh-CN"/>
        </w:rPr>
        <w:t>安全运</w:t>
      </w:r>
      <w:proofErr w:type="gramEnd"/>
      <w:r>
        <w:rPr>
          <w:rFonts w:ascii="仿宋_GB2312" w:eastAsia="仿宋_GB2312" w:hAnsi="等线" w:cs="宋体" w:hint="eastAsia"/>
          <w:color w:val="000000"/>
          <w:kern w:val="0"/>
          <w:szCs w:val="21"/>
          <w:lang w:val="zh-CN"/>
        </w:rPr>
        <w:t>维管理：</w:t>
      </w:r>
      <w:r>
        <w:rPr>
          <w:rFonts w:ascii="仿宋_GB2312" w:eastAsia="仿宋_GB2312" w:hAnsi="等线" w:cs="宋体" w:hint="eastAsia"/>
          <w:color w:val="000000"/>
          <w:kern w:val="0"/>
          <w:szCs w:val="21"/>
          <w:lang w:val="zh-CN"/>
        </w:rPr>
        <w:t> </w:t>
      </w:r>
      <w:r>
        <w:rPr>
          <w:rFonts w:ascii="仿宋_GB2312" w:eastAsia="仿宋_GB2312" w:hAnsi="等线" w:cs="宋体" w:hint="eastAsia"/>
          <w:color w:val="000000"/>
          <w:kern w:val="0"/>
          <w:szCs w:val="21"/>
          <w:lang w:val="zh-CN"/>
        </w:rPr>
        <w:t>环境管理、资产管理、介质管理、设备维护管理、漏洞和风险管理、网络和系统安全管理、恶意代码防范管理、配置管理、密码管理、变更管理、备份与恢复管理、安全事件处置、应急预案管理、外包运维管理。</w:t>
      </w:r>
    </w:p>
    <w:p w:rsidR="00334A7A" w:rsidRDefault="00D9787F">
      <w:pPr>
        <w:spacing w:line="360" w:lineRule="auto"/>
        <w:ind w:firstLine="420"/>
        <w:rPr>
          <w:rFonts w:ascii="仿宋_GB2312" w:eastAsia="仿宋_GB2312" w:hAnsi="等线" w:cs="宋体"/>
          <w:color w:val="000000"/>
          <w:kern w:val="0"/>
          <w:szCs w:val="21"/>
          <w:lang w:val="zh-CN"/>
        </w:rPr>
      </w:pPr>
      <w:r>
        <w:rPr>
          <w:rFonts w:ascii="仿宋_GB2312" w:eastAsia="仿宋_GB2312" w:hAnsi="等线" w:cs="宋体" w:hint="eastAsia"/>
          <w:color w:val="000000"/>
          <w:kern w:val="0"/>
          <w:szCs w:val="21"/>
        </w:rPr>
        <w:t>安全整改阶段，</w:t>
      </w:r>
      <w:r>
        <w:rPr>
          <w:rFonts w:ascii="仿宋_GB2312" w:eastAsia="仿宋_GB2312" w:hAnsi="等线" w:cs="宋体" w:hint="eastAsia"/>
          <w:color w:val="000000"/>
          <w:kern w:val="0"/>
          <w:szCs w:val="21"/>
          <w:lang w:val="zh-CN"/>
        </w:rPr>
        <w:t>依据相应等级要求对当前实际情况的差距分析结果对应策略设计整改加固措施，包含安全物理环境、安全通信网络、安全区域边界、安全计算环境、安全管理中心以及管理要求内容，针对不符合项以及行业特性要求进行个性化的整改方案设计，包含岗位职责梳理、技术策略实施、风险评估、管理体系建设、安全产品集成、组织方案评审、提供安全产品等方面，设计信息安全等级保护建设详细方案，协助建设单位完成建设整改工作。</w:t>
      </w:r>
    </w:p>
    <w:p w:rsidR="00334A7A" w:rsidRDefault="00D9787F">
      <w:pPr>
        <w:spacing w:line="360" w:lineRule="auto"/>
        <w:ind w:firstLine="420"/>
        <w:rPr>
          <w:rFonts w:ascii="仿宋_GB2312" w:eastAsia="仿宋_GB2312" w:hAnsi="等线" w:cs="宋体"/>
          <w:color w:val="000000"/>
          <w:kern w:val="0"/>
          <w:szCs w:val="21"/>
        </w:rPr>
      </w:pPr>
      <w:r>
        <w:rPr>
          <w:rFonts w:ascii="仿宋_GB2312" w:eastAsia="仿宋_GB2312" w:hAnsi="等线" w:cs="宋体" w:hint="eastAsia"/>
          <w:color w:val="000000"/>
          <w:kern w:val="0"/>
          <w:szCs w:val="21"/>
        </w:rPr>
        <w:t>安全</w:t>
      </w:r>
      <w:r>
        <w:rPr>
          <w:rFonts w:ascii="仿宋_GB2312" w:eastAsia="仿宋_GB2312" w:hAnsi="等线" w:cs="宋体" w:hint="eastAsia"/>
          <w:color w:val="000000"/>
          <w:kern w:val="0"/>
          <w:szCs w:val="21"/>
          <w:lang w:val="zh-CN"/>
        </w:rPr>
        <w:t>加固</w:t>
      </w:r>
      <w:r>
        <w:rPr>
          <w:rFonts w:ascii="仿宋_GB2312" w:eastAsia="仿宋_GB2312" w:hAnsi="等线" w:cs="宋体" w:hint="eastAsia"/>
          <w:color w:val="000000"/>
          <w:kern w:val="0"/>
          <w:szCs w:val="21"/>
        </w:rPr>
        <w:t>阶段，</w:t>
      </w:r>
      <w:r>
        <w:rPr>
          <w:rFonts w:ascii="仿宋_GB2312" w:eastAsia="仿宋_GB2312" w:hAnsi="等线" w:cs="宋体" w:hint="eastAsia"/>
          <w:color w:val="000000"/>
          <w:kern w:val="0"/>
          <w:szCs w:val="21"/>
          <w:lang w:val="zh-CN"/>
        </w:rPr>
        <w:t>根据等级保护基本要求以及风险和差距分析结果，对服务范围内信息系统的关键资产编制安全加固实施方案。派遣专业工程师到现场根据安全加固实施方案实施边界防护安全策略优化辅导、服务器病毒检查与清理，提供主机安全加固建议、数据库安全加固建议以及应用安全加固建议。在安全加固实施前，应提交安全加固风险分析及风险规避说明书；安全加固实施后，应提交防火墙策略文件及配置清单、服务器安全加固建议报告、设备加固建议报告等文档。对于需要增加投资，部署新的信息安全产品和技术的整改措施，双方根据整改方案另行协商和实施。</w:t>
      </w:r>
    </w:p>
    <w:p w:rsidR="00334A7A" w:rsidRDefault="00D9787F">
      <w:pPr>
        <w:spacing w:line="360" w:lineRule="auto"/>
        <w:ind w:firstLine="420"/>
        <w:rPr>
          <w:rFonts w:ascii="仿宋_GB2312" w:eastAsia="仿宋_GB2312" w:hAnsi="等线" w:cs="宋体"/>
          <w:color w:val="000000"/>
          <w:kern w:val="0"/>
          <w:szCs w:val="21"/>
        </w:rPr>
      </w:pPr>
      <w:proofErr w:type="gramStart"/>
      <w:r>
        <w:rPr>
          <w:rFonts w:ascii="仿宋_GB2312" w:eastAsia="仿宋_GB2312" w:hAnsi="等线" w:cs="宋体" w:hint="eastAsia"/>
          <w:color w:val="000000"/>
          <w:kern w:val="0"/>
          <w:szCs w:val="21"/>
        </w:rPr>
        <w:t>组织等保测评</w:t>
      </w:r>
      <w:proofErr w:type="gramEnd"/>
      <w:r>
        <w:rPr>
          <w:rFonts w:ascii="仿宋_GB2312" w:eastAsia="仿宋_GB2312" w:hAnsi="等线" w:cs="宋体" w:hint="eastAsia"/>
          <w:color w:val="000000"/>
          <w:kern w:val="0"/>
          <w:szCs w:val="21"/>
        </w:rPr>
        <w:t>，报告编制阶段，根据系统整改和加固情况，进行测评项单项符合性判定，综合分析剩余安全问题，在整改</w:t>
      </w:r>
      <w:proofErr w:type="gramStart"/>
      <w:r>
        <w:rPr>
          <w:rFonts w:ascii="仿宋_GB2312" w:eastAsia="仿宋_GB2312" w:hAnsi="等线" w:cs="宋体" w:hint="eastAsia"/>
          <w:color w:val="000000"/>
          <w:kern w:val="0"/>
          <w:szCs w:val="21"/>
        </w:rPr>
        <w:t>符合符合等保要求</w:t>
      </w:r>
      <w:proofErr w:type="gramEnd"/>
      <w:r>
        <w:rPr>
          <w:rFonts w:ascii="仿宋_GB2312" w:eastAsia="仿宋_GB2312" w:hAnsi="等线" w:cs="宋体" w:hint="eastAsia"/>
          <w:color w:val="000000"/>
          <w:kern w:val="0"/>
          <w:szCs w:val="21"/>
        </w:rPr>
        <w:t>的前提下，获得公安主管单位认可的《等级测评报告》。</w:t>
      </w:r>
    </w:p>
    <w:sectPr w:rsidR="00334A7A" w:rsidSect="00334A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8D2" w:rsidRDefault="004E28D2" w:rsidP="0014485B">
      <w:r>
        <w:separator/>
      </w:r>
    </w:p>
  </w:endnote>
  <w:endnote w:type="continuationSeparator" w:id="0">
    <w:p w:rsidR="004E28D2" w:rsidRDefault="004E28D2" w:rsidP="0014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8D2" w:rsidRDefault="004E28D2" w:rsidP="0014485B">
      <w:r>
        <w:separator/>
      </w:r>
    </w:p>
  </w:footnote>
  <w:footnote w:type="continuationSeparator" w:id="0">
    <w:p w:rsidR="004E28D2" w:rsidRDefault="004E28D2" w:rsidP="001448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1BB34F"/>
    <w:multiLevelType w:val="singleLevel"/>
    <w:tmpl w:val="C81BB34F"/>
    <w:lvl w:ilvl="0">
      <w:start w:val="1"/>
      <w:numFmt w:val="decimal"/>
      <w:suff w:val="nothing"/>
      <w:lvlText w:val="%1、"/>
      <w:lvlJc w:val="left"/>
    </w:lvl>
  </w:abstractNum>
  <w:abstractNum w:abstractNumId="1">
    <w:nsid w:val="CDC4D8AE"/>
    <w:multiLevelType w:val="singleLevel"/>
    <w:tmpl w:val="CDC4D8AE"/>
    <w:lvl w:ilvl="0">
      <w:start w:val="1"/>
      <w:numFmt w:val="chineseCounting"/>
      <w:suff w:val="nothing"/>
      <w:lvlText w:val="%1、"/>
      <w:lvlJc w:val="left"/>
      <w:rPr>
        <w:rFonts w:hint="eastAsia"/>
      </w:rPr>
    </w:lvl>
  </w:abstractNum>
  <w:abstractNum w:abstractNumId="2">
    <w:nsid w:val="248E45BE"/>
    <w:multiLevelType w:val="singleLevel"/>
    <w:tmpl w:val="248E45BE"/>
    <w:lvl w:ilvl="0">
      <w:start w:val="1"/>
      <w:numFmt w:val="decimal"/>
      <w:suff w:val="nothing"/>
      <w:lvlText w:val="%1、"/>
      <w:lvlJc w:val="left"/>
    </w:lvl>
  </w:abstractNum>
  <w:abstractNum w:abstractNumId="3">
    <w:nsid w:val="3E1C7C8E"/>
    <w:multiLevelType w:val="multilevel"/>
    <w:tmpl w:val="3E1C7C8E"/>
    <w:lvl w:ilvl="0">
      <w:start w:val="1"/>
      <w:numFmt w:val="bullet"/>
      <w:lvlText w:val=""/>
      <w:lvlJc w:val="left"/>
      <w:pPr>
        <w:ind w:left="615" w:hanging="420"/>
      </w:pPr>
      <w:rPr>
        <w:rFonts w:ascii="Wingdings" w:hAnsi="Wingdings" w:hint="default"/>
      </w:rPr>
    </w:lvl>
    <w:lvl w:ilvl="1">
      <w:start w:val="1"/>
      <w:numFmt w:val="bullet"/>
      <w:lvlText w:val=""/>
      <w:lvlJc w:val="left"/>
      <w:pPr>
        <w:ind w:left="1035" w:hanging="420"/>
      </w:pPr>
      <w:rPr>
        <w:rFonts w:ascii="Wingdings" w:hAnsi="Wingdings" w:hint="default"/>
      </w:rPr>
    </w:lvl>
    <w:lvl w:ilvl="2">
      <w:start w:val="1"/>
      <w:numFmt w:val="bullet"/>
      <w:lvlText w:val=""/>
      <w:lvlJc w:val="left"/>
      <w:pPr>
        <w:ind w:left="1455" w:hanging="420"/>
      </w:pPr>
      <w:rPr>
        <w:rFonts w:ascii="Wingdings" w:hAnsi="Wingdings" w:hint="default"/>
      </w:rPr>
    </w:lvl>
    <w:lvl w:ilvl="3">
      <w:start w:val="1"/>
      <w:numFmt w:val="bullet"/>
      <w:lvlText w:val=""/>
      <w:lvlJc w:val="left"/>
      <w:pPr>
        <w:ind w:left="1875" w:hanging="420"/>
      </w:pPr>
      <w:rPr>
        <w:rFonts w:ascii="Wingdings" w:hAnsi="Wingdings" w:hint="default"/>
      </w:rPr>
    </w:lvl>
    <w:lvl w:ilvl="4">
      <w:start w:val="1"/>
      <w:numFmt w:val="bullet"/>
      <w:lvlText w:val=""/>
      <w:lvlJc w:val="left"/>
      <w:pPr>
        <w:ind w:left="2295" w:hanging="420"/>
      </w:pPr>
      <w:rPr>
        <w:rFonts w:ascii="Wingdings" w:hAnsi="Wingdings" w:hint="default"/>
      </w:rPr>
    </w:lvl>
    <w:lvl w:ilvl="5">
      <w:start w:val="1"/>
      <w:numFmt w:val="bullet"/>
      <w:lvlText w:val=""/>
      <w:lvlJc w:val="left"/>
      <w:pPr>
        <w:ind w:left="2715" w:hanging="420"/>
      </w:pPr>
      <w:rPr>
        <w:rFonts w:ascii="Wingdings" w:hAnsi="Wingdings" w:hint="default"/>
      </w:rPr>
    </w:lvl>
    <w:lvl w:ilvl="6">
      <w:start w:val="1"/>
      <w:numFmt w:val="bullet"/>
      <w:lvlText w:val=""/>
      <w:lvlJc w:val="left"/>
      <w:pPr>
        <w:ind w:left="3135" w:hanging="420"/>
      </w:pPr>
      <w:rPr>
        <w:rFonts w:ascii="Wingdings" w:hAnsi="Wingdings" w:hint="default"/>
      </w:rPr>
    </w:lvl>
    <w:lvl w:ilvl="7">
      <w:start w:val="1"/>
      <w:numFmt w:val="bullet"/>
      <w:lvlText w:val=""/>
      <w:lvlJc w:val="left"/>
      <w:pPr>
        <w:ind w:left="3555" w:hanging="420"/>
      </w:pPr>
      <w:rPr>
        <w:rFonts w:ascii="Wingdings" w:hAnsi="Wingdings" w:hint="default"/>
      </w:rPr>
    </w:lvl>
    <w:lvl w:ilvl="8">
      <w:start w:val="1"/>
      <w:numFmt w:val="bullet"/>
      <w:lvlText w:val=""/>
      <w:lvlJc w:val="left"/>
      <w:pPr>
        <w:ind w:left="3975"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1C33"/>
    <w:rsid w:val="0014485B"/>
    <w:rsid w:val="00181C33"/>
    <w:rsid w:val="00334A7A"/>
    <w:rsid w:val="003441FA"/>
    <w:rsid w:val="004A1D26"/>
    <w:rsid w:val="004E28D2"/>
    <w:rsid w:val="00536F97"/>
    <w:rsid w:val="005E71AA"/>
    <w:rsid w:val="0061253A"/>
    <w:rsid w:val="006A20D2"/>
    <w:rsid w:val="006B2AEF"/>
    <w:rsid w:val="00794D71"/>
    <w:rsid w:val="00820DEC"/>
    <w:rsid w:val="008358BC"/>
    <w:rsid w:val="00A1552D"/>
    <w:rsid w:val="00D6577E"/>
    <w:rsid w:val="00D67A8F"/>
    <w:rsid w:val="00D9787F"/>
    <w:rsid w:val="00E24DE9"/>
    <w:rsid w:val="00E80FEA"/>
    <w:rsid w:val="026F2626"/>
    <w:rsid w:val="2CAB7666"/>
    <w:rsid w:val="2F250D43"/>
    <w:rsid w:val="38267898"/>
    <w:rsid w:val="39DF64B9"/>
    <w:rsid w:val="55C932D3"/>
    <w:rsid w:val="5A0B245C"/>
    <w:rsid w:val="5B17196C"/>
    <w:rsid w:val="6AD13B27"/>
    <w:rsid w:val="6F74469E"/>
    <w:rsid w:val="73AE1D7D"/>
    <w:rsid w:val="76B86BDE"/>
    <w:rsid w:val="7A383121"/>
    <w:rsid w:val="7AEE59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Body Text Indent" w:uiPriority="99"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334A7A"/>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334A7A"/>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334A7A"/>
    <w:pPr>
      <w:spacing w:after="120" w:line="240" w:lineRule="auto"/>
      <w:ind w:leftChars="200" w:left="420" w:firstLineChars="200" w:firstLine="420"/>
    </w:pPr>
    <w:rPr>
      <w:sz w:val="21"/>
      <w:szCs w:val="20"/>
    </w:rPr>
  </w:style>
  <w:style w:type="paragraph" w:styleId="a3">
    <w:name w:val="Body Text Indent"/>
    <w:basedOn w:val="a"/>
    <w:uiPriority w:val="99"/>
    <w:qFormat/>
    <w:rsid w:val="00334A7A"/>
    <w:pPr>
      <w:spacing w:line="360" w:lineRule="auto"/>
      <w:ind w:firstLine="570"/>
    </w:pPr>
    <w:rPr>
      <w:sz w:val="24"/>
    </w:rPr>
  </w:style>
  <w:style w:type="paragraph" w:styleId="a4">
    <w:name w:val="Body Text"/>
    <w:basedOn w:val="a"/>
    <w:uiPriority w:val="1"/>
    <w:qFormat/>
    <w:rsid w:val="00334A7A"/>
    <w:pPr>
      <w:ind w:left="118"/>
    </w:pPr>
    <w:rPr>
      <w:rFonts w:ascii="宋体" w:eastAsia="宋体" w:hAnsi="宋体"/>
      <w:sz w:val="24"/>
    </w:rPr>
  </w:style>
  <w:style w:type="paragraph" w:styleId="a5">
    <w:name w:val="footer"/>
    <w:basedOn w:val="a"/>
    <w:link w:val="Char"/>
    <w:rsid w:val="00334A7A"/>
    <w:pPr>
      <w:tabs>
        <w:tab w:val="center" w:pos="4153"/>
        <w:tab w:val="right" w:pos="8306"/>
      </w:tabs>
      <w:snapToGrid w:val="0"/>
      <w:jc w:val="left"/>
    </w:pPr>
    <w:rPr>
      <w:sz w:val="18"/>
      <w:szCs w:val="18"/>
    </w:rPr>
  </w:style>
  <w:style w:type="paragraph" w:styleId="a6">
    <w:name w:val="header"/>
    <w:basedOn w:val="a"/>
    <w:link w:val="Char0"/>
    <w:rsid w:val="00334A7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334A7A"/>
    <w:pPr>
      <w:widowControl/>
      <w:spacing w:before="100" w:beforeAutospacing="1" w:after="100" w:afterAutospacing="1"/>
      <w:jc w:val="left"/>
    </w:pPr>
    <w:rPr>
      <w:rFonts w:ascii="宋体" w:eastAsia="宋体" w:hAnsi="宋体" w:cs="宋体"/>
      <w:kern w:val="0"/>
      <w:sz w:val="24"/>
    </w:rPr>
  </w:style>
  <w:style w:type="character" w:customStyle="1" w:styleId="Char0">
    <w:name w:val="页眉 Char"/>
    <w:basedOn w:val="a0"/>
    <w:link w:val="a6"/>
    <w:rsid w:val="00334A7A"/>
    <w:rPr>
      <w:rFonts w:asciiTheme="minorHAnsi" w:eastAsiaTheme="minorEastAsia" w:hAnsiTheme="minorHAnsi" w:cstheme="minorBidi"/>
      <w:kern w:val="2"/>
      <w:sz w:val="18"/>
      <w:szCs w:val="18"/>
    </w:rPr>
  </w:style>
  <w:style w:type="character" w:customStyle="1" w:styleId="Char">
    <w:name w:val="页脚 Char"/>
    <w:basedOn w:val="a0"/>
    <w:link w:val="a5"/>
    <w:rsid w:val="00334A7A"/>
    <w:rPr>
      <w:rFonts w:asciiTheme="minorHAnsi" w:eastAsiaTheme="minorEastAsia" w:hAnsiTheme="minorHAnsi" w:cstheme="minorBidi"/>
      <w:kern w:val="2"/>
      <w:sz w:val="18"/>
      <w:szCs w:val="18"/>
    </w:rPr>
  </w:style>
  <w:style w:type="paragraph" w:styleId="a8">
    <w:name w:val="List Paragraph"/>
    <w:basedOn w:val="a"/>
    <w:uiPriority w:val="99"/>
    <w:unhideWhenUsed/>
    <w:rsid w:val="00334A7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250</Words>
  <Characters>1430</Characters>
  <Application>Microsoft Office Word</Application>
  <DocSecurity>0</DocSecurity>
  <Lines>11</Lines>
  <Paragraphs>3</Paragraphs>
  <ScaleCrop>false</ScaleCrop>
  <Company>微软中国</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49621</dc:creator>
  <cp:lastModifiedBy>Windows</cp:lastModifiedBy>
  <cp:revision>15</cp:revision>
  <dcterms:created xsi:type="dcterms:W3CDTF">2020-01-16T06:50:00Z</dcterms:created>
  <dcterms:modified xsi:type="dcterms:W3CDTF">2020-01-19T00:56:00Z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