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6" w:rsidRPr="0051447C" w:rsidRDefault="00487406" w:rsidP="00EA01E6">
      <w:pPr>
        <w:spacing w:line="500" w:lineRule="exact"/>
        <w:jc w:val="right"/>
        <w:rPr>
          <w:rFonts w:ascii="宋体"/>
          <w:color w:val="000000"/>
          <w:sz w:val="24"/>
          <w:szCs w:val="24"/>
        </w:rPr>
      </w:pPr>
      <w:r w:rsidRPr="0051447C">
        <w:rPr>
          <w:rFonts w:ascii="宋体" w:hAnsi="宋体" w:cs="宋体" w:hint="eastAsia"/>
          <w:color w:val="000000"/>
        </w:rPr>
        <w:t>附件</w:t>
      </w:r>
      <w:r w:rsidRPr="0051447C">
        <w:rPr>
          <w:rFonts w:ascii="宋体" w:hAnsi="宋体" w:cs="宋体"/>
          <w:color w:val="000000"/>
        </w:rPr>
        <w:t>1</w:t>
      </w:r>
    </w:p>
    <w:p w:rsidR="00487406" w:rsidRPr="00EA7D7B" w:rsidRDefault="00487406" w:rsidP="00EA01E6">
      <w:pPr>
        <w:spacing w:line="360" w:lineRule="auto"/>
        <w:jc w:val="center"/>
        <w:rPr>
          <w:rFonts w:ascii="宋体"/>
          <w:color w:val="000000"/>
          <w:sz w:val="36"/>
          <w:szCs w:val="36"/>
        </w:rPr>
      </w:pPr>
      <w:r w:rsidRPr="001C61E5">
        <w:rPr>
          <w:rFonts w:ascii="宋体" w:hAnsi="宋体" w:cs="宋体" w:hint="eastAsia"/>
          <w:b/>
          <w:bCs/>
          <w:color w:val="000000"/>
          <w:spacing w:val="20"/>
          <w:sz w:val="36"/>
          <w:szCs w:val="36"/>
        </w:rPr>
        <w:t>报价</w:t>
      </w:r>
      <w:r w:rsidRPr="00EA7D7B">
        <w:rPr>
          <w:rFonts w:ascii="宋体" w:hAnsi="宋体" w:cs="宋体" w:hint="eastAsia"/>
          <w:b/>
          <w:bCs/>
          <w:color w:val="000000"/>
          <w:spacing w:val="20"/>
          <w:sz w:val="36"/>
          <w:szCs w:val="36"/>
        </w:rPr>
        <w:t>一览表</w:t>
      </w:r>
    </w:p>
    <w:p w:rsidR="00487406" w:rsidRPr="0051447C" w:rsidRDefault="00487406" w:rsidP="00EA01E6">
      <w:pPr>
        <w:spacing w:line="500" w:lineRule="exact"/>
        <w:rPr>
          <w:rFonts w:ascii="宋体"/>
          <w:color w:val="000000"/>
          <w:sz w:val="24"/>
          <w:szCs w:val="24"/>
        </w:rPr>
      </w:pPr>
      <w:r w:rsidRPr="0051447C">
        <w:rPr>
          <w:rFonts w:ascii="宋体" w:hAnsi="宋体" w:cs="宋体"/>
          <w:color w:val="000000"/>
          <w:sz w:val="24"/>
          <w:szCs w:val="24"/>
        </w:rPr>
        <w:t xml:space="preserve">            </w:t>
      </w:r>
      <w:r>
        <w:rPr>
          <w:rFonts w:ascii="宋体" w:hAnsi="宋体" w:cs="宋体"/>
          <w:color w:val="000000"/>
          <w:sz w:val="24"/>
          <w:szCs w:val="24"/>
        </w:rPr>
        <w:t xml:space="preserve">             </w:t>
      </w:r>
      <w:r w:rsidRPr="0051447C">
        <w:rPr>
          <w:rFonts w:ascii="宋体" w:hAnsi="宋体" w:cs="宋体"/>
          <w:color w:val="000000"/>
          <w:sz w:val="24"/>
          <w:szCs w:val="24"/>
        </w:rPr>
        <w:t xml:space="preserve">            </w:t>
      </w:r>
      <w:r>
        <w:rPr>
          <w:rFonts w:ascii="宋体" w:hAnsi="宋体" w:cs="宋体"/>
          <w:color w:val="000000"/>
          <w:sz w:val="24"/>
          <w:szCs w:val="24"/>
        </w:rPr>
        <w:t xml:space="preserve">                             </w:t>
      </w:r>
      <w:r w:rsidRPr="0051447C">
        <w:rPr>
          <w:rFonts w:ascii="宋体" w:hAnsi="宋体" w:cs="宋体" w:hint="eastAsia"/>
          <w:color w:val="000000"/>
          <w:sz w:val="24"/>
          <w:szCs w:val="24"/>
        </w:rPr>
        <w:t>货币单位：人民币</w:t>
      </w: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12"/>
        <w:gridCol w:w="1968"/>
        <w:gridCol w:w="1921"/>
        <w:gridCol w:w="1623"/>
        <w:gridCol w:w="1077"/>
        <w:gridCol w:w="1080"/>
        <w:gridCol w:w="1080"/>
      </w:tblGrid>
      <w:tr w:rsidR="00487406" w:rsidRPr="0051447C">
        <w:trPr>
          <w:cantSplit/>
          <w:trHeight w:val="1013"/>
        </w:trPr>
        <w:tc>
          <w:tcPr>
            <w:tcW w:w="539" w:type="dxa"/>
            <w:vAlign w:val="center"/>
          </w:tcPr>
          <w:p w:rsidR="00487406" w:rsidRPr="0051447C" w:rsidRDefault="00487406" w:rsidP="007E034D">
            <w:pPr>
              <w:jc w:val="center"/>
              <w:rPr>
                <w:rFonts w:ascii="宋体"/>
                <w:color w:val="000000"/>
                <w:sz w:val="24"/>
                <w:szCs w:val="24"/>
              </w:rPr>
            </w:pPr>
            <w:r w:rsidRPr="0051447C">
              <w:rPr>
                <w:rFonts w:ascii="宋体" w:hAnsi="宋体" w:cs="宋体" w:hint="eastAsia"/>
                <w:color w:val="000000"/>
                <w:sz w:val="24"/>
                <w:szCs w:val="24"/>
              </w:rPr>
              <w:t>合同包</w:t>
            </w:r>
          </w:p>
        </w:tc>
        <w:tc>
          <w:tcPr>
            <w:tcW w:w="612" w:type="dxa"/>
            <w:vAlign w:val="center"/>
          </w:tcPr>
          <w:p w:rsidR="00487406" w:rsidRPr="0051447C" w:rsidRDefault="00487406" w:rsidP="007E034D">
            <w:pPr>
              <w:jc w:val="center"/>
              <w:rPr>
                <w:rFonts w:ascii="宋体"/>
                <w:color w:val="000000"/>
                <w:sz w:val="24"/>
                <w:szCs w:val="24"/>
              </w:rPr>
            </w:pPr>
            <w:r>
              <w:rPr>
                <w:rFonts w:ascii="宋体" w:hAnsi="宋体" w:cs="宋体" w:hint="eastAsia"/>
                <w:color w:val="000000"/>
                <w:sz w:val="24"/>
                <w:szCs w:val="24"/>
              </w:rPr>
              <w:t>品目号</w:t>
            </w:r>
          </w:p>
        </w:tc>
        <w:tc>
          <w:tcPr>
            <w:tcW w:w="1968" w:type="dxa"/>
            <w:vAlign w:val="center"/>
          </w:tcPr>
          <w:p w:rsidR="00487406" w:rsidRPr="0051447C" w:rsidRDefault="00487406" w:rsidP="007E034D">
            <w:pPr>
              <w:jc w:val="center"/>
              <w:rPr>
                <w:rFonts w:ascii="宋体"/>
                <w:color w:val="000000"/>
                <w:sz w:val="24"/>
                <w:szCs w:val="24"/>
              </w:rPr>
            </w:pPr>
            <w:r>
              <w:rPr>
                <w:rFonts w:ascii="宋体" w:hAnsi="宋体" w:cs="宋体" w:hint="eastAsia"/>
                <w:color w:val="000000"/>
                <w:sz w:val="24"/>
                <w:szCs w:val="24"/>
              </w:rPr>
              <w:t>项目</w:t>
            </w:r>
            <w:r w:rsidRPr="0051447C">
              <w:rPr>
                <w:rFonts w:ascii="宋体" w:hAnsi="宋体" w:cs="宋体" w:hint="eastAsia"/>
                <w:color w:val="000000"/>
                <w:sz w:val="24"/>
                <w:szCs w:val="24"/>
              </w:rPr>
              <w:t>名称</w:t>
            </w:r>
          </w:p>
        </w:tc>
        <w:tc>
          <w:tcPr>
            <w:tcW w:w="1921" w:type="dxa"/>
            <w:vAlign w:val="center"/>
          </w:tcPr>
          <w:p w:rsidR="00487406" w:rsidRPr="00EA7D7B" w:rsidRDefault="00487406" w:rsidP="007E034D">
            <w:pPr>
              <w:jc w:val="center"/>
              <w:rPr>
                <w:rFonts w:ascii="宋体"/>
                <w:color w:val="000000"/>
                <w:sz w:val="24"/>
                <w:szCs w:val="24"/>
              </w:rPr>
            </w:pPr>
            <w:r>
              <w:rPr>
                <w:rFonts w:ascii="宋体" w:hAnsi="宋体" w:cs="宋体" w:hint="eastAsia"/>
                <w:color w:val="000000"/>
                <w:sz w:val="24"/>
                <w:szCs w:val="24"/>
              </w:rPr>
              <w:t>商品</w:t>
            </w:r>
          </w:p>
        </w:tc>
        <w:tc>
          <w:tcPr>
            <w:tcW w:w="1623" w:type="dxa"/>
            <w:vAlign w:val="center"/>
          </w:tcPr>
          <w:p w:rsidR="00487406" w:rsidRPr="00EA7D7B" w:rsidRDefault="00487406" w:rsidP="007E034D">
            <w:pPr>
              <w:jc w:val="center"/>
              <w:rPr>
                <w:rFonts w:ascii="宋体"/>
                <w:color w:val="000000"/>
                <w:sz w:val="24"/>
                <w:szCs w:val="24"/>
              </w:rPr>
            </w:pPr>
            <w:r w:rsidRPr="00EA7D7B">
              <w:rPr>
                <w:rFonts w:ascii="宋体" w:hAnsi="宋体" w:cs="宋体" w:hint="eastAsia"/>
                <w:color w:val="000000"/>
                <w:sz w:val="24"/>
                <w:szCs w:val="24"/>
              </w:rPr>
              <w:t>型号</w:t>
            </w:r>
            <w:r w:rsidRPr="00EA7D7B">
              <w:rPr>
                <w:rFonts w:ascii="宋体" w:hAnsi="宋体" w:cs="宋体"/>
                <w:color w:val="000000"/>
                <w:sz w:val="24"/>
                <w:szCs w:val="24"/>
              </w:rPr>
              <w:t>/</w:t>
            </w:r>
            <w:r w:rsidRPr="00EA7D7B">
              <w:rPr>
                <w:rFonts w:ascii="宋体" w:hAnsi="宋体" w:cs="宋体" w:hint="eastAsia"/>
                <w:color w:val="000000"/>
                <w:sz w:val="24"/>
                <w:szCs w:val="24"/>
              </w:rPr>
              <w:t>规格</w:t>
            </w:r>
            <w:r w:rsidRPr="00EA7D7B">
              <w:rPr>
                <w:rFonts w:ascii="宋体" w:hAnsi="宋体" w:cs="宋体"/>
                <w:color w:val="000000"/>
                <w:sz w:val="24"/>
                <w:szCs w:val="24"/>
              </w:rPr>
              <w:t>/</w:t>
            </w:r>
            <w:r w:rsidRPr="00EA7D7B">
              <w:rPr>
                <w:rFonts w:ascii="宋体" w:hAnsi="宋体" w:cs="宋体" w:hint="eastAsia"/>
                <w:color w:val="000000"/>
                <w:sz w:val="24"/>
                <w:szCs w:val="24"/>
              </w:rPr>
              <w:t>技术指标</w:t>
            </w:r>
          </w:p>
        </w:tc>
        <w:tc>
          <w:tcPr>
            <w:tcW w:w="1077" w:type="dxa"/>
            <w:vAlign w:val="center"/>
          </w:tcPr>
          <w:p w:rsidR="00487406" w:rsidRPr="00EA7D7B" w:rsidRDefault="00487406" w:rsidP="007E034D">
            <w:pPr>
              <w:jc w:val="center"/>
              <w:rPr>
                <w:rFonts w:ascii="宋体"/>
                <w:color w:val="000000"/>
                <w:sz w:val="24"/>
                <w:szCs w:val="24"/>
              </w:rPr>
            </w:pPr>
            <w:r w:rsidRPr="00EA7D7B">
              <w:rPr>
                <w:rFonts w:ascii="宋体" w:hAnsi="宋体" w:cs="宋体" w:hint="eastAsia"/>
                <w:color w:val="000000"/>
                <w:sz w:val="24"/>
                <w:szCs w:val="24"/>
              </w:rPr>
              <w:t>数量</w:t>
            </w:r>
          </w:p>
        </w:tc>
        <w:tc>
          <w:tcPr>
            <w:tcW w:w="1080" w:type="dxa"/>
            <w:vAlign w:val="center"/>
          </w:tcPr>
          <w:p w:rsidR="00487406" w:rsidRPr="0051447C" w:rsidRDefault="00487406" w:rsidP="007E034D">
            <w:pPr>
              <w:jc w:val="center"/>
              <w:rPr>
                <w:rFonts w:ascii="宋体"/>
                <w:color w:val="000000"/>
                <w:sz w:val="24"/>
                <w:szCs w:val="24"/>
              </w:rPr>
            </w:pPr>
            <w:r>
              <w:rPr>
                <w:rFonts w:ascii="宋体" w:hAnsi="宋体" w:cs="宋体" w:hint="eastAsia"/>
                <w:color w:val="000000"/>
                <w:sz w:val="24"/>
                <w:szCs w:val="24"/>
              </w:rPr>
              <w:t>单价</w:t>
            </w:r>
            <w:r>
              <w:rPr>
                <w:rFonts w:ascii="宋体" w:hAnsi="宋体" w:cs="宋体"/>
                <w:color w:val="000000"/>
                <w:sz w:val="24"/>
                <w:szCs w:val="24"/>
              </w:rPr>
              <w:t>(</w:t>
            </w:r>
            <w:r>
              <w:rPr>
                <w:rFonts w:ascii="宋体" w:hAnsi="宋体" w:cs="宋体" w:hint="eastAsia"/>
                <w:color w:val="000000"/>
                <w:sz w:val="24"/>
                <w:szCs w:val="24"/>
              </w:rPr>
              <w:t>元</w:t>
            </w:r>
            <w:r>
              <w:rPr>
                <w:rFonts w:ascii="宋体" w:hAnsi="宋体" w:cs="宋体"/>
                <w:color w:val="000000"/>
                <w:sz w:val="24"/>
                <w:szCs w:val="24"/>
              </w:rPr>
              <w:t>)</w:t>
            </w:r>
          </w:p>
        </w:tc>
        <w:tc>
          <w:tcPr>
            <w:tcW w:w="1080" w:type="dxa"/>
            <w:vAlign w:val="center"/>
          </w:tcPr>
          <w:p w:rsidR="00487406" w:rsidRPr="0051447C" w:rsidRDefault="00487406" w:rsidP="007E034D">
            <w:pPr>
              <w:jc w:val="center"/>
              <w:rPr>
                <w:rFonts w:ascii="宋体"/>
                <w:color w:val="000000"/>
                <w:sz w:val="24"/>
                <w:szCs w:val="24"/>
              </w:rPr>
            </w:pPr>
            <w:r>
              <w:rPr>
                <w:rFonts w:ascii="宋体" w:hAnsi="宋体" w:cs="宋体" w:hint="eastAsia"/>
                <w:color w:val="000000"/>
                <w:sz w:val="24"/>
                <w:szCs w:val="24"/>
              </w:rPr>
              <w:t>总价</w:t>
            </w:r>
            <w:r>
              <w:rPr>
                <w:rFonts w:ascii="宋体" w:hAnsi="宋体" w:cs="宋体"/>
                <w:color w:val="000000"/>
                <w:sz w:val="24"/>
                <w:szCs w:val="24"/>
              </w:rPr>
              <w:t>(</w:t>
            </w:r>
            <w:r>
              <w:rPr>
                <w:rFonts w:ascii="宋体" w:hAnsi="宋体" w:cs="宋体" w:hint="eastAsia"/>
                <w:color w:val="000000"/>
                <w:sz w:val="24"/>
                <w:szCs w:val="24"/>
              </w:rPr>
              <w:t>元</w:t>
            </w:r>
            <w:r>
              <w:rPr>
                <w:rFonts w:ascii="宋体" w:hAnsi="宋体" w:cs="宋体"/>
                <w:color w:val="000000"/>
                <w:sz w:val="24"/>
                <w:szCs w:val="24"/>
              </w:rPr>
              <w:t>)</w:t>
            </w:r>
          </w:p>
        </w:tc>
      </w:tr>
      <w:tr w:rsidR="00487406" w:rsidRPr="0051447C">
        <w:trPr>
          <w:cantSplit/>
          <w:trHeight w:val="606"/>
        </w:trPr>
        <w:tc>
          <w:tcPr>
            <w:tcW w:w="539" w:type="dxa"/>
            <w:vAlign w:val="center"/>
          </w:tcPr>
          <w:p w:rsidR="00487406" w:rsidRPr="0051447C" w:rsidRDefault="00487406" w:rsidP="007E034D">
            <w:pPr>
              <w:spacing w:line="500" w:lineRule="exact"/>
              <w:jc w:val="center"/>
              <w:rPr>
                <w:rFonts w:ascii="宋体"/>
                <w:color w:val="000000"/>
                <w:sz w:val="24"/>
                <w:szCs w:val="24"/>
              </w:rPr>
            </w:pPr>
            <w:r>
              <w:rPr>
                <w:rFonts w:ascii="宋体" w:hAnsi="宋体" w:cs="宋体"/>
                <w:color w:val="000000"/>
                <w:sz w:val="24"/>
                <w:szCs w:val="24"/>
              </w:rPr>
              <w:t>1</w:t>
            </w:r>
          </w:p>
        </w:tc>
        <w:tc>
          <w:tcPr>
            <w:tcW w:w="612" w:type="dxa"/>
            <w:vAlign w:val="center"/>
          </w:tcPr>
          <w:p w:rsidR="00487406" w:rsidRPr="0051447C" w:rsidRDefault="00487406" w:rsidP="007E034D">
            <w:pPr>
              <w:spacing w:line="500" w:lineRule="exact"/>
              <w:jc w:val="center"/>
              <w:rPr>
                <w:rFonts w:ascii="宋体"/>
                <w:color w:val="000000"/>
                <w:sz w:val="24"/>
                <w:szCs w:val="24"/>
              </w:rPr>
            </w:pPr>
            <w:r>
              <w:rPr>
                <w:rFonts w:ascii="宋体" w:hAnsi="宋体" w:cs="宋体"/>
                <w:color w:val="000000"/>
                <w:sz w:val="24"/>
                <w:szCs w:val="24"/>
              </w:rPr>
              <w:t>1</w:t>
            </w:r>
          </w:p>
        </w:tc>
        <w:tc>
          <w:tcPr>
            <w:tcW w:w="1968" w:type="dxa"/>
          </w:tcPr>
          <w:p w:rsidR="00487406" w:rsidRPr="0051447C" w:rsidRDefault="00487406" w:rsidP="007E034D">
            <w:pPr>
              <w:spacing w:line="500" w:lineRule="exact"/>
              <w:jc w:val="center"/>
              <w:rPr>
                <w:rFonts w:ascii="宋体"/>
                <w:color w:val="000000"/>
                <w:sz w:val="24"/>
                <w:szCs w:val="24"/>
              </w:rPr>
            </w:pPr>
            <w:r w:rsidRPr="00C936E0">
              <w:rPr>
                <w:rFonts w:cs="宋体" w:hint="eastAsia"/>
              </w:rPr>
              <w:t>专项资金支出绩效评价项目</w:t>
            </w:r>
          </w:p>
        </w:tc>
        <w:tc>
          <w:tcPr>
            <w:tcW w:w="1921" w:type="dxa"/>
            <w:vAlign w:val="center"/>
          </w:tcPr>
          <w:p w:rsidR="00487406" w:rsidRPr="0051447C" w:rsidRDefault="00487406" w:rsidP="007E034D">
            <w:pPr>
              <w:rPr>
                <w:rFonts w:ascii="宋体"/>
                <w:color w:val="000000"/>
                <w:sz w:val="24"/>
                <w:szCs w:val="24"/>
              </w:rPr>
            </w:pPr>
            <w:r w:rsidRPr="00C936E0">
              <w:rPr>
                <w:rFonts w:cs="宋体" w:hint="eastAsia"/>
              </w:rPr>
              <w:t>专项资金支出绩效评价项目</w:t>
            </w:r>
          </w:p>
        </w:tc>
        <w:tc>
          <w:tcPr>
            <w:tcW w:w="1623" w:type="dxa"/>
            <w:vAlign w:val="center"/>
          </w:tcPr>
          <w:p w:rsidR="00487406" w:rsidRPr="0051447C" w:rsidRDefault="00487406" w:rsidP="007E034D">
            <w:pPr>
              <w:spacing w:line="500" w:lineRule="exact"/>
              <w:rPr>
                <w:rFonts w:ascii="宋体"/>
                <w:color w:val="000000"/>
                <w:sz w:val="24"/>
                <w:szCs w:val="24"/>
              </w:rPr>
            </w:pPr>
            <w:r>
              <w:rPr>
                <w:rFonts w:cs="宋体" w:hint="eastAsia"/>
              </w:rPr>
              <w:t>完全响应服务要求</w:t>
            </w:r>
          </w:p>
        </w:tc>
        <w:tc>
          <w:tcPr>
            <w:tcW w:w="1077" w:type="dxa"/>
          </w:tcPr>
          <w:p w:rsidR="00487406" w:rsidRPr="0051447C" w:rsidRDefault="00487406" w:rsidP="007E034D">
            <w:pPr>
              <w:spacing w:line="500" w:lineRule="exact"/>
              <w:rPr>
                <w:rFonts w:ascii="宋体"/>
                <w:color w:val="000000"/>
                <w:sz w:val="24"/>
                <w:szCs w:val="24"/>
              </w:rPr>
            </w:pPr>
            <w:r>
              <w:t>1</w:t>
            </w:r>
            <w:r>
              <w:rPr>
                <w:rFonts w:cs="宋体" w:hint="eastAsia"/>
              </w:rPr>
              <w:t>次</w:t>
            </w:r>
          </w:p>
        </w:tc>
        <w:tc>
          <w:tcPr>
            <w:tcW w:w="1080" w:type="dxa"/>
          </w:tcPr>
          <w:p w:rsidR="00487406" w:rsidRPr="0051447C" w:rsidRDefault="00487406" w:rsidP="007E034D">
            <w:pPr>
              <w:spacing w:line="500" w:lineRule="exact"/>
              <w:rPr>
                <w:rFonts w:ascii="宋体"/>
                <w:color w:val="000000"/>
                <w:sz w:val="24"/>
                <w:szCs w:val="24"/>
              </w:rPr>
            </w:pPr>
            <w:r>
              <w:t>69000</w:t>
            </w:r>
          </w:p>
        </w:tc>
        <w:tc>
          <w:tcPr>
            <w:tcW w:w="1080" w:type="dxa"/>
          </w:tcPr>
          <w:p w:rsidR="00487406" w:rsidRPr="0051447C" w:rsidRDefault="00487406" w:rsidP="007E034D">
            <w:pPr>
              <w:spacing w:line="500" w:lineRule="exact"/>
              <w:rPr>
                <w:rFonts w:ascii="宋体"/>
                <w:color w:val="000000"/>
                <w:sz w:val="24"/>
                <w:szCs w:val="24"/>
              </w:rPr>
            </w:pPr>
            <w:r>
              <w:t>69000</w:t>
            </w:r>
          </w:p>
        </w:tc>
      </w:tr>
      <w:tr w:rsidR="00487406" w:rsidRPr="0051447C">
        <w:trPr>
          <w:cantSplit/>
          <w:trHeight w:val="607"/>
        </w:trPr>
        <w:tc>
          <w:tcPr>
            <w:tcW w:w="3119" w:type="dxa"/>
            <w:gridSpan w:val="3"/>
            <w:vAlign w:val="center"/>
          </w:tcPr>
          <w:p w:rsidR="00487406" w:rsidRPr="0051447C" w:rsidRDefault="00487406" w:rsidP="007E034D">
            <w:pPr>
              <w:spacing w:line="500" w:lineRule="exact"/>
              <w:jc w:val="center"/>
              <w:rPr>
                <w:rFonts w:ascii="宋体"/>
                <w:color w:val="000000"/>
                <w:sz w:val="24"/>
                <w:szCs w:val="24"/>
              </w:rPr>
            </w:pPr>
            <w:r>
              <w:rPr>
                <w:rFonts w:ascii="宋体" w:hAnsi="宋体" w:cs="宋体" w:hint="eastAsia"/>
                <w:color w:val="000000"/>
                <w:sz w:val="24"/>
                <w:szCs w:val="24"/>
              </w:rPr>
              <w:t>报价</w:t>
            </w:r>
            <w:r w:rsidRPr="0051447C">
              <w:rPr>
                <w:rFonts w:ascii="宋体" w:hAnsi="宋体" w:cs="宋体" w:hint="eastAsia"/>
                <w:color w:val="000000"/>
                <w:sz w:val="24"/>
                <w:szCs w:val="24"/>
              </w:rPr>
              <w:t>总价（大写）</w:t>
            </w:r>
          </w:p>
        </w:tc>
        <w:tc>
          <w:tcPr>
            <w:tcW w:w="4621" w:type="dxa"/>
            <w:gridSpan w:val="3"/>
            <w:vAlign w:val="center"/>
          </w:tcPr>
          <w:p w:rsidR="00487406" w:rsidRPr="0051447C" w:rsidRDefault="00487406" w:rsidP="007E034D">
            <w:pPr>
              <w:spacing w:line="500" w:lineRule="exact"/>
              <w:rPr>
                <w:rFonts w:ascii="宋体"/>
                <w:color w:val="000000"/>
                <w:sz w:val="24"/>
                <w:szCs w:val="24"/>
              </w:rPr>
            </w:pPr>
            <w:r>
              <w:rPr>
                <w:rFonts w:ascii="宋体" w:hAnsi="宋体" w:cs="宋体" w:hint="eastAsia"/>
                <w:color w:val="000000"/>
                <w:sz w:val="24"/>
                <w:szCs w:val="24"/>
              </w:rPr>
              <w:t>人民币陆万玖仟元整</w:t>
            </w:r>
          </w:p>
        </w:tc>
        <w:tc>
          <w:tcPr>
            <w:tcW w:w="2160" w:type="dxa"/>
            <w:gridSpan w:val="2"/>
            <w:vAlign w:val="center"/>
          </w:tcPr>
          <w:p w:rsidR="00487406" w:rsidRPr="0051447C" w:rsidRDefault="00487406" w:rsidP="007E034D">
            <w:pPr>
              <w:spacing w:line="500" w:lineRule="exact"/>
              <w:rPr>
                <w:rFonts w:ascii="宋体"/>
                <w:color w:val="000000"/>
                <w:sz w:val="24"/>
                <w:szCs w:val="24"/>
              </w:rPr>
            </w:pPr>
            <w:r w:rsidRPr="0051447C">
              <w:rPr>
                <w:rFonts w:ascii="宋体" w:hAnsi="宋体" w:cs="宋体" w:hint="eastAsia"/>
                <w:color w:val="000000"/>
                <w:sz w:val="24"/>
                <w:szCs w:val="24"/>
              </w:rPr>
              <w:t>小写：</w:t>
            </w:r>
            <w:r>
              <w:rPr>
                <w:rFonts w:ascii="宋体" w:hAnsi="宋体" w:cs="宋体"/>
                <w:color w:val="000000"/>
                <w:sz w:val="24"/>
                <w:szCs w:val="24"/>
              </w:rPr>
              <w:t>69</w:t>
            </w:r>
            <w:r w:rsidRPr="00910E69">
              <w:rPr>
                <w:rFonts w:ascii="宋体" w:hAnsi="宋体" w:cs="宋体"/>
                <w:color w:val="000000"/>
                <w:sz w:val="24"/>
                <w:szCs w:val="24"/>
              </w:rPr>
              <w:t>000</w:t>
            </w:r>
            <w:r>
              <w:rPr>
                <w:rFonts w:ascii="宋体" w:cs="宋体"/>
                <w:color w:val="000000"/>
                <w:sz w:val="24"/>
                <w:szCs w:val="24"/>
              </w:rPr>
              <w:t>.00</w:t>
            </w:r>
          </w:p>
        </w:tc>
      </w:tr>
    </w:tbl>
    <w:p w:rsidR="00487406" w:rsidRDefault="00487406" w:rsidP="00EA01E6">
      <w:pPr>
        <w:tabs>
          <w:tab w:val="left" w:pos="13000"/>
        </w:tabs>
        <w:spacing w:line="500" w:lineRule="exact"/>
        <w:rPr>
          <w:rFonts w:ascii="宋体"/>
          <w:color w:val="000000"/>
          <w:sz w:val="24"/>
          <w:szCs w:val="24"/>
        </w:rPr>
      </w:pPr>
    </w:p>
    <w:p w:rsidR="00487406" w:rsidRPr="0051447C" w:rsidRDefault="00487406" w:rsidP="00EA01E6">
      <w:pPr>
        <w:tabs>
          <w:tab w:val="left" w:pos="13000"/>
        </w:tabs>
        <w:spacing w:line="500" w:lineRule="exact"/>
        <w:rPr>
          <w:rFonts w:ascii="宋体"/>
          <w:color w:val="000000"/>
          <w:sz w:val="24"/>
          <w:szCs w:val="24"/>
        </w:rPr>
      </w:pPr>
      <w:r w:rsidRPr="0051447C">
        <w:rPr>
          <w:rFonts w:ascii="宋体" w:hAnsi="宋体" w:cs="宋体" w:hint="eastAsia"/>
          <w:color w:val="000000"/>
          <w:sz w:val="24"/>
          <w:szCs w:val="24"/>
        </w:rPr>
        <w:t>注：当一个合同包有多个品目号时，</w:t>
      </w:r>
      <w:r>
        <w:rPr>
          <w:rFonts w:ascii="宋体" w:hAnsi="宋体" w:cs="宋体" w:hint="eastAsia"/>
          <w:color w:val="000000"/>
          <w:sz w:val="24"/>
          <w:szCs w:val="24"/>
        </w:rPr>
        <w:t>报价</w:t>
      </w:r>
      <w:r w:rsidRPr="0051447C">
        <w:rPr>
          <w:rFonts w:ascii="宋体" w:hAnsi="宋体" w:cs="宋体" w:hint="eastAsia"/>
          <w:color w:val="000000"/>
          <w:sz w:val="24"/>
          <w:szCs w:val="24"/>
        </w:rPr>
        <w:t>人应计算出该合同包的合计价。</w:t>
      </w:r>
    </w:p>
    <w:p w:rsidR="00487406" w:rsidRDefault="00487406" w:rsidP="00523279">
      <w:pPr>
        <w:spacing w:line="500" w:lineRule="exact"/>
        <w:ind w:firstLineChars="1650" w:firstLine="31680"/>
        <w:rPr>
          <w:rFonts w:ascii="宋体"/>
          <w:color w:val="000000"/>
          <w:sz w:val="24"/>
          <w:szCs w:val="24"/>
        </w:rPr>
      </w:pPr>
    </w:p>
    <w:p w:rsidR="00487406" w:rsidRDefault="00487406" w:rsidP="00523279">
      <w:pPr>
        <w:spacing w:line="500" w:lineRule="exact"/>
        <w:ind w:firstLineChars="1650" w:firstLine="31680"/>
        <w:rPr>
          <w:rFonts w:ascii="宋体"/>
          <w:color w:val="000000"/>
          <w:sz w:val="24"/>
          <w:szCs w:val="24"/>
        </w:rPr>
      </w:pPr>
    </w:p>
    <w:p w:rsidR="00487406" w:rsidRPr="0051447C" w:rsidRDefault="00487406" w:rsidP="00EA01E6">
      <w:pPr>
        <w:tabs>
          <w:tab w:val="left" w:pos="5355"/>
        </w:tabs>
        <w:spacing w:line="500" w:lineRule="exact"/>
        <w:jc w:val="right"/>
        <w:rPr>
          <w:rFonts w:ascii="宋体"/>
          <w:color w:val="000000"/>
        </w:rPr>
      </w:pPr>
      <w:r>
        <w:rPr>
          <w:rFonts w:ascii="宋体"/>
          <w:color w:val="000000"/>
        </w:rPr>
        <w:br w:type="page"/>
      </w:r>
      <w:r w:rsidDel="00A60D41">
        <w:rPr>
          <w:rFonts w:ascii="宋体" w:hAnsi="宋体" w:cs="宋体"/>
          <w:color w:val="000000"/>
        </w:rPr>
        <w:t xml:space="preserve"> </w:t>
      </w:r>
      <w:r w:rsidRPr="0051447C">
        <w:rPr>
          <w:rFonts w:ascii="宋体" w:hAnsi="宋体" w:cs="宋体" w:hint="eastAsia"/>
          <w:color w:val="000000"/>
        </w:rPr>
        <w:t>附件</w:t>
      </w:r>
      <w:r>
        <w:rPr>
          <w:rFonts w:ascii="宋体" w:hAnsi="宋体" w:cs="宋体"/>
          <w:color w:val="000000"/>
        </w:rPr>
        <w:t>2</w:t>
      </w:r>
    </w:p>
    <w:p w:rsidR="00487406" w:rsidRPr="0051447C" w:rsidRDefault="00487406" w:rsidP="00EA01E6">
      <w:pPr>
        <w:spacing w:line="500" w:lineRule="exact"/>
        <w:jc w:val="center"/>
        <w:rPr>
          <w:rFonts w:ascii="宋体"/>
          <w:color w:val="000000"/>
          <w:sz w:val="24"/>
          <w:szCs w:val="24"/>
        </w:rPr>
      </w:pPr>
      <w:r w:rsidRPr="0051447C">
        <w:rPr>
          <w:rFonts w:ascii="宋体" w:hAnsi="宋体" w:cs="宋体" w:hint="eastAsia"/>
          <w:b/>
          <w:bCs/>
          <w:color w:val="000000"/>
          <w:sz w:val="36"/>
          <w:szCs w:val="36"/>
        </w:rPr>
        <w:t>货物说明一览表</w:t>
      </w:r>
      <w:r w:rsidRPr="0051447C">
        <w:rPr>
          <w:rFonts w:ascii="宋体" w:hAnsi="宋体" w:cs="宋体"/>
          <w:color w:val="000000"/>
        </w:rPr>
        <w:t xml:space="preserve"> </w:t>
      </w:r>
      <w:r w:rsidRPr="0051447C">
        <w:rPr>
          <w:rFonts w:ascii="宋体" w:hAnsi="宋体" w:cs="宋体" w:hint="eastAsia"/>
          <w:color w:val="000000"/>
          <w:sz w:val="24"/>
          <w:szCs w:val="24"/>
        </w:rPr>
        <w:t>（按</w:t>
      </w:r>
      <w:r>
        <w:rPr>
          <w:rFonts w:ascii="宋体" w:hAnsi="宋体" w:cs="宋体" w:hint="eastAsia"/>
          <w:color w:val="000000"/>
          <w:sz w:val="24"/>
          <w:szCs w:val="24"/>
        </w:rPr>
        <w:t>所投</w:t>
      </w:r>
      <w:r w:rsidRPr="0051447C">
        <w:rPr>
          <w:rFonts w:ascii="宋体" w:hAnsi="宋体" w:cs="宋体" w:hint="eastAsia"/>
          <w:color w:val="000000"/>
          <w:sz w:val="24"/>
          <w:szCs w:val="24"/>
        </w:rPr>
        <w:t>货物合同包下品目号类别分别填写）</w:t>
      </w:r>
    </w:p>
    <w:p w:rsidR="00487406" w:rsidRPr="001C61E5" w:rsidRDefault="00487406" w:rsidP="00EA01E6">
      <w:pPr>
        <w:spacing w:line="500" w:lineRule="exact"/>
        <w:rPr>
          <w:rFonts w:ascii="宋体"/>
          <w:color w:val="000000"/>
          <w:sz w:val="24"/>
          <w:szCs w:val="24"/>
        </w:rPr>
      </w:pPr>
    </w:p>
    <w:tbl>
      <w:tblPr>
        <w:tblW w:w="10221" w:type="dxa"/>
        <w:tblInd w:w="-106" w:type="dxa"/>
        <w:tblLook w:val="00A0"/>
      </w:tblPr>
      <w:tblGrid>
        <w:gridCol w:w="620"/>
        <w:gridCol w:w="720"/>
        <w:gridCol w:w="8881"/>
      </w:tblGrid>
      <w:tr w:rsidR="00487406" w:rsidRPr="00FA46D7">
        <w:trPr>
          <w:trHeight w:val="615"/>
        </w:trPr>
        <w:tc>
          <w:tcPr>
            <w:tcW w:w="620" w:type="dxa"/>
            <w:tcBorders>
              <w:top w:val="single" w:sz="4" w:space="0" w:color="auto"/>
              <w:left w:val="single" w:sz="4" w:space="0" w:color="auto"/>
              <w:bottom w:val="single" w:sz="4" w:space="0" w:color="auto"/>
              <w:right w:val="single" w:sz="4" w:space="0" w:color="auto"/>
            </w:tcBorders>
            <w:vAlign w:val="center"/>
          </w:tcPr>
          <w:p w:rsidR="00487406" w:rsidRPr="00FA46D7" w:rsidRDefault="00487406" w:rsidP="007E034D">
            <w:pPr>
              <w:widowControl/>
              <w:jc w:val="center"/>
              <w:rPr>
                <w:rFonts w:ascii="宋体"/>
                <w:b/>
                <w:bCs/>
                <w:color w:val="000000"/>
                <w:kern w:val="0"/>
                <w:sz w:val="20"/>
                <w:szCs w:val="20"/>
              </w:rPr>
            </w:pPr>
            <w:r w:rsidRPr="00FA46D7">
              <w:rPr>
                <w:rFonts w:ascii="宋体" w:hAnsi="宋体" w:cs="宋体" w:hint="eastAsia"/>
                <w:b/>
                <w:bCs/>
                <w:color w:val="000000"/>
                <w:kern w:val="0"/>
                <w:sz w:val="20"/>
                <w:szCs w:val="20"/>
              </w:rPr>
              <w:t>序号</w:t>
            </w:r>
          </w:p>
        </w:tc>
        <w:tc>
          <w:tcPr>
            <w:tcW w:w="720" w:type="dxa"/>
            <w:tcBorders>
              <w:top w:val="single" w:sz="4" w:space="0" w:color="auto"/>
              <w:left w:val="nil"/>
              <w:bottom w:val="single" w:sz="4" w:space="0" w:color="auto"/>
              <w:right w:val="single" w:sz="4" w:space="0" w:color="auto"/>
            </w:tcBorders>
            <w:vAlign w:val="center"/>
          </w:tcPr>
          <w:p w:rsidR="00487406" w:rsidRPr="00FA46D7" w:rsidRDefault="00487406" w:rsidP="007E034D">
            <w:pPr>
              <w:widowControl/>
              <w:jc w:val="center"/>
              <w:rPr>
                <w:rFonts w:ascii="宋体"/>
                <w:b/>
                <w:bCs/>
                <w:color w:val="000000"/>
                <w:kern w:val="0"/>
                <w:sz w:val="20"/>
                <w:szCs w:val="20"/>
              </w:rPr>
            </w:pPr>
            <w:r w:rsidRPr="00FA46D7">
              <w:rPr>
                <w:rFonts w:ascii="宋体" w:hAnsi="宋体" w:cs="宋体" w:hint="eastAsia"/>
                <w:b/>
                <w:bCs/>
                <w:color w:val="000000"/>
                <w:kern w:val="0"/>
                <w:sz w:val="20"/>
                <w:szCs w:val="20"/>
              </w:rPr>
              <w:t>产品名称</w:t>
            </w:r>
          </w:p>
        </w:tc>
        <w:tc>
          <w:tcPr>
            <w:tcW w:w="8881" w:type="dxa"/>
            <w:tcBorders>
              <w:top w:val="single" w:sz="4" w:space="0" w:color="auto"/>
              <w:left w:val="nil"/>
              <w:bottom w:val="single" w:sz="4" w:space="0" w:color="auto"/>
              <w:right w:val="single" w:sz="4" w:space="0" w:color="auto"/>
            </w:tcBorders>
            <w:vAlign w:val="center"/>
          </w:tcPr>
          <w:p w:rsidR="00487406" w:rsidRPr="00FA46D7" w:rsidRDefault="00487406" w:rsidP="007E034D">
            <w:pPr>
              <w:widowControl/>
              <w:jc w:val="center"/>
              <w:rPr>
                <w:rFonts w:ascii="宋体"/>
                <w:b/>
                <w:bCs/>
                <w:color w:val="000000"/>
                <w:kern w:val="0"/>
                <w:sz w:val="20"/>
                <w:szCs w:val="20"/>
              </w:rPr>
            </w:pPr>
            <w:r w:rsidRPr="00FA46D7">
              <w:rPr>
                <w:rFonts w:ascii="宋体" w:hAnsi="宋体" w:cs="宋体" w:hint="eastAsia"/>
                <w:b/>
                <w:bCs/>
                <w:color w:val="000000"/>
                <w:kern w:val="0"/>
                <w:sz w:val="20"/>
                <w:szCs w:val="20"/>
              </w:rPr>
              <w:t>重点参数</w:t>
            </w:r>
          </w:p>
        </w:tc>
      </w:tr>
      <w:tr w:rsidR="00487406" w:rsidRPr="00FA46D7">
        <w:trPr>
          <w:trHeight w:val="1690"/>
        </w:trPr>
        <w:tc>
          <w:tcPr>
            <w:tcW w:w="620" w:type="dxa"/>
            <w:tcBorders>
              <w:top w:val="nil"/>
              <w:left w:val="single" w:sz="4" w:space="0" w:color="auto"/>
              <w:bottom w:val="single" w:sz="4" w:space="0" w:color="auto"/>
              <w:right w:val="single" w:sz="4" w:space="0" w:color="auto"/>
            </w:tcBorders>
            <w:vAlign w:val="center"/>
          </w:tcPr>
          <w:p w:rsidR="00487406" w:rsidRPr="00FA46D7" w:rsidRDefault="00487406" w:rsidP="007E034D">
            <w:pPr>
              <w:widowControl/>
              <w:jc w:val="center"/>
              <w:rPr>
                <w:rFonts w:ascii="宋体"/>
                <w:b/>
                <w:bCs/>
                <w:color w:val="000000"/>
                <w:kern w:val="0"/>
                <w:sz w:val="20"/>
                <w:szCs w:val="20"/>
              </w:rPr>
            </w:pPr>
            <w:r w:rsidRPr="00FA46D7">
              <w:rPr>
                <w:rFonts w:ascii="宋体" w:hAnsi="宋体" w:cs="宋体"/>
                <w:b/>
                <w:bCs/>
                <w:color w:val="000000"/>
                <w:kern w:val="0"/>
                <w:sz w:val="20"/>
                <w:szCs w:val="20"/>
              </w:rPr>
              <w:t>1</w:t>
            </w:r>
          </w:p>
        </w:tc>
        <w:tc>
          <w:tcPr>
            <w:tcW w:w="720" w:type="dxa"/>
            <w:tcBorders>
              <w:top w:val="nil"/>
              <w:left w:val="nil"/>
              <w:bottom w:val="single" w:sz="4" w:space="0" w:color="auto"/>
              <w:right w:val="single" w:sz="4" w:space="0" w:color="auto"/>
            </w:tcBorders>
            <w:vAlign w:val="center"/>
          </w:tcPr>
          <w:p w:rsidR="00487406" w:rsidRPr="00FA46D7" w:rsidRDefault="00487406" w:rsidP="007E034D">
            <w:pPr>
              <w:widowControl/>
              <w:jc w:val="center"/>
              <w:rPr>
                <w:rFonts w:ascii="宋体"/>
                <w:b/>
                <w:bCs/>
                <w:color w:val="000000"/>
                <w:kern w:val="0"/>
                <w:sz w:val="20"/>
                <w:szCs w:val="20"/>
              </w:rPr>
            </w:pPr>
            <w:r w:rsidRPr="00C936E0">
              <w:rPr>
                <w:rFonts w:ascii="宋体" w:hAnsi="宋体" w:cs="宋体" w:hint="eastAsia"/>
                <w:sz w:val="24"/>
                <w:szCs w:val="24"/>
              </w:rPr>
              <w:t>专项资金支出绩效评价项目</w:t>
            </w:r>
          </w:p>
        </w:tc>
        <w:tc>
          <w:tcPr>
            <w:tcW w:w="8881" w:type="dxa"/>
            <w:tcBorders>
              <w:top w:val="nil"/>
              <w:left w:val="nil"/>
              <w:bottom w:val="single" w:sz="4" w:space="0" w:color="auto"/>
              <w:right w:val="single" w:sz="4" w:space="0" w:color="auto"/>
            </w:tcBorders>
          </w:tcPr>
          <w:p w:rsidR="00487406" w:rsidRPr="00C936E0" w:rsidRDefault="00487406" w:rsidP="007E034D">
            <w:pPr>
              <w:widowControl/>
              <w:jc w:val="left"/>
              <w:rPr>
                <w:rStyle w:val="NormalCharacter"/>
              </w:rPr>
            </w:pPr>
            <w:r w:rsidRPr="00C936E0">
              <w:rPr>
                <w:rStyle w:val="NormalCharacter"/>
                <w:rFonts w:cs="宋体" w:hint="eastAsia"/>
              </w:rPr>
              <w:t>绩效评价目标</w:t>
            </w:r>
          </w:p>
          <w:p w:rsidR="00487406" w:rsidRPr="00C936E0" w:rsidRDefault="00487406" w:rsidP="007E034D">
            <w:pPr>
              <w:widowControl/>
              <w:jc w:val="left"/>
              <w:rPr>
                <w:rStyle w:val="NormalCharacter"/>
              </w:rPr>
            </w:pPr>
            <w:r w:rsidRPr="00C936E0">
              <w:rPr>
                <w:rStyle w:val="NormalCharacter"/>
                <w:rFonts w:cs="宋体" w:hint="eastAsia"/>
              </w:rPr>
              <w:t>对支出情况和支出效益进行绩效评价，发现项目存在的问题，并提出有关建议。具体包括项目决策情况</w:t>
            </w:r>
            <w:bookmarkStart w:id="0" w:name="_GoBack"/>
            <w:bookmarkEnd w:id="0"/>
            <w:r w:rsidRPr="00C936E0">
              <w:rPr>
                <w:rStyle w:val="NormalCharacter"/>
                <w:rFonts w:cs="宋体" w:hint="eastAsia"/>
              </w:rPr>
              <w:t>、资金管理和使用情况、相关管理制度办法的健全性及执行情况、实现的产出情况、取得的效益情况等方面。事前有目标</w:t>
            </w:r>
            <w:r w:rsidRPr="00C936E0">
              <w:rPr>
                <w:rStyle w:val="NormalCharacter"/>
              </w:rPr>
              <w:t>,</w:t>
            </w:r>
            <w:r w:rsidRPr="00C936E0">
              <w:rPr>
                <w:rStyle w:val="NormalCharacter"/>
                <w:rFonts w:cs="宋体" w:hint="eastAsia"/>
              </w:rPr>
              <w:t>事中有监控</w:t>
            </w:r>
            <w:r w:rsidRPr="00C936E0">
              <w:rPr>
                <w:rStyle w:val="NormalCharacter"/>
              </w:rPr>
              <w:t>,</w:t>
            </w:r>
            <w:r w:rsidRPr="00C936E0">
              <w:rPr>
                <w:rStyle w:val="NormalCharacter"/>
                <w:rFonts w:cs="宋体" w:hint="eastAsia"/>
              </w:rPr>
              <w:t>事后有评价</w:t>
            </w:r>
          </w:p>
          <w:p w:rsidR="00487406" w:rsidRPr="00C936E0" w:rsidRDefault="00487406" w:rsidP="007E034D">
            <w:pPr>
              <w:widowControl/>
              <w:jc w:val="left"/>
              <w:rPr>
                <w:rStyle w:val="NormalCharacter"/>
              </w:rPr>
            </w:pPr>
            <w:r w:rsidRPr="00C936E0">
              <w:rPr>
                <w:rStyle w:val="NormalCharacter"/>
                <w:rFonts w:cs="宋体" w:hint="eastAsia"/>
              </w:rPr>
              <w:t>三、绩效评价服务范围、计划、内容</w:t>
            </w:r>
            <w:r w:rsidRPr="00C936E0">
              <w:rPr>
                <w:rStyle w:val="NormalCharacter"/>
              </w:rPr>
              <w:t> </w:t>
            </w:r>
          </w:p>
          <w:p w:rsidR="00487406" w:rsidRPr="00C936E0" w:rsidRDefault="00487406" w:rsidP="007E034D">
            <w:pPr>
              <w:widowControl/>
              <w:jc w:val="left"/>
              <w:rPr>
                <w:rStyle w:val="NormalCharacter"/>
              </w:rPr>
            </w:pPr>
            <w:r w:rsidRPr="00C936E0">
              <w:rPr>
                <w:rStyle w:val="NormalCharacter"/>
                <w:rFonts w:cs="宋体" w:hint="eastAsia"/>
              </w:rPr>
              <w:t>（一）绩效评价服务的范围和内容包括以下方面：</w:t>
            </w:r>
          </w:p>
          <w:p w:rsidR="00487406" w:rsidRPr="00C936E0" w:rsidRDefault="00487406" w:rsidP="007E034D">
            <w:pPr>
              <w:widowControl/>
              <w:jc w:val="left"/>
              <w:rPr>
                <w:rStyle w:val="NormalCharacter"/>
              </w:rPr>
            </w:pPr>
            <w:r w:rsidRPr="00C936E0">
              <w:rPr>
                <w:rStyle w:val="NormalCharacter"/>
              </w:rPr>
              <w:t>1</w:t>
            </w:r>
            <w:r w:rsidRPr="00C936E0">
              <w:rPr>
                <w:rStyle w:val="NormalCharacter"/>
                <w:rFonts w:cs="宋体" w:hint="eastAsia"/>
              </w:rPr>
              <w:t>、决策情况</w:t>
            </w:r>
          </w:p>
          <w:p w:rsidR="00487406" w:rsidRPr="00C936E0" w:rsidRDefault="00487406" w:rsidP="007E034D">
            <w:pPr>
              <w:widowControl/>
              <w:jc w:val="left"/>
              <w:rPr>
                <w:rStyle w:val="NormalCharacter"/>
              </w:rPr>
            </w:pPr>
            <w:r w:rsidRPr="00C936E0">
              <w:rPr>
                <w:rStyle w:val="NormalCharacter"/>
                <w:rFonts w:cs="宋体" w:hint="eastAsia"/>
              </w:rPr>
              <w:t>了解各项目起止时间、项目概况、项目立项情况（包括项目立项的依据和项目申报的可行性）和项目的总体目标。</w:t>
            </w:r>
          </w:p>
          <w:p w:rsidR="00487406" w:rsidRPr="00C936E0" w:rsidRDefault="00487406" w:rsidP="007E034D">
            <w:pPr>
              <w:widowControl/>
              <w:jc w:val="left"/>
              <w:rPr>
                <w:rStyle w:val="NormalCharacter"/>
              </w:rPr>
            </w:pPr>
            <w:r w:rsidRPr="00C936E0">
              <w:rPr>
                <w:rStyle w:val="NormalCharacter"/>
              </w:rPr>
              <w:t>2</w:t>
            </w:r>
            <w:r w:rsidRPr="00C936E0">
              <w:rPr>
                <w:rStyle w:val="NormalCharacter"/>
                <w:rFonts w:cs="宋体" w:hint="eastAsia"/>
              </w:rPr>
              <w:t>、资金管理和使用情况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1</w:t>
            </w:r>
            <w:r w:rsidRPr="00C936E0">
              <w:rPr>
                <w:rStyle w:val="NormalCharacter"/>
                <w:rFonts w:cs="宋体" w:hint="eastAsia"/>
              </w:rPr>
              <w:t>）了解各项目专项资金的预算情况、使用情况、结余情况，分</w:t>
            </w:r>
          </w:p>
          <w:p w:rsidR="00487406" w:rsidRPr="00C936E0" w:rsidRDefault="00487406" w:rsidP="007E034D">
            <w:pPr>
              <w:widowControl/>
              <w:jc w:val="left"/>
              <w:rPr>
                <w:rStyle w:val="NormalCharacter"/>
              </w:rPr>
            </w:pPr>
            <w:r w:rsidRPr="00C936E0">
              <w:rPr>
                <w:rStyle w:val="NormalCharacter"/>
                <w:rFonts w:cs="宋体" w:hint="eastAsia"/>
              </w:rPr>
              <w:t>析绩效目标管理资金覆盖率、绩效监控管理资金覆盖率、绩效评价管理资金覆盖率，测算资金覆盖率是否达到年度预算布置要求；</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2</w:t>
            </w:r>
            <w:r w:rsidRPr="00C936E0">
              <w:rPr>
                <w:rStyle w:val="NormalCharacter"/>
                <w:rFonts w:cs="宋体" w:hint="eastAsia"/>
              </w:rPr>
              <w:t>）通过和项目有关人员询问了解财务管理状况和资产配置、使</w:t>
            </w:r>
          </w:p>
          <w:p w:rsidR="00487406" w:rsidRPr="00C936E0" w:rsidRDefault="00487406" w:rsidP="007E034D">
            <w:pPr>
              <w:widowControl/>
              <w:jc w:val="left"/>
              <w:rPr>
                <w:rStyle w:val="NormalCharacter"/>
              </w:rPr>
            </w:pPr>
            <w:r w:rsidRPr="00C936E0">
              <w:rPr>
                <w:rStyle w:val="NormalCharacter"/>
                <w:rFonts w:cs="宋体" w:hint="eastAsia"/>
              </w:rPr>
              <w:t>用、处理及其收益管理情况；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3</w:t>
            </w:r>
            <w:r w:rsidRPr="00C936E0">
              <w:rPr>
                <w:rStyle w:val="NormalCharacter"/>
                <w:rFonts w:cs="宋体" w:hint="eastAsia"/>
              </w:rPr>
              <w:t>）查阅专项资金有关会计账簿和原始凭证，分析专项资金的收</w:t>
            </w:r>
          </w:p>
          <w:p w:rsidR="00487406" w:rsidRPr="00C936E0" w:rsidRDefault="00487406" w:rsidP="007E034D">
            <w:pPr>
              <w:widowControl/>
              <w:jc w:val="left"/>
              <w:rPr>
                <w:rStyle w:val="NormalCharacter"/>
              </w:rPr>
            </w:pPr>
            <w:r w:rsidRPr="00C936E0">
              <w:rPr>
                <w:rStyle w:val="NormalCharacter"/>
                <w:rFonts w:cs="宋体" w:hint="eastAsia"/>
              </w:rPr>
              <w:t>支情况，包括专项资金预算的下达情况，向基层单位转拨情况和本级资金使用情况、结余情况，各基层单位资金使用情况和结余情况；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4</w:t>
            </w:r>
            <w:r w:rsidRPr="00C936E0">
              <w:rPr>
                <w:rStyle w:val="NormalCharacter"/>
                <w:rFonts w:cs="宋体" w:hint="eastAsia"/>
              </w:rPr>
              <w:t>）分析项目资金结余或者超支的具体原因，并可以此作为下一</w:t>
            </w:r>
          </w:p>
          <w:p w:rsidR="00487406" w:rsidRPr="00C936E0" w:rsidRDefault="00487406" w:rsidP="007E034D">
            <w:pPr>
              <w:widowControl/>
              <w:jc w:val="left"/>
              <w:rPr>
                <w:rStyle w:val="NormalCharacter"/>
              </w:rPr>
            </w:pPr>
            <w:r w:rsidRPr="00C936E0">
              <w:rPr>
                <w:rStyle w:val="NormalCharacter"/>
                <w:rFonts w:cs="宋体" w:hint="eastAsia"/>
              </w:rPr>
              <w:t>个年度资金预算的调整依据，从而提高预算编制和绩效目标资金布置的准确性。</w:t>
            </w:r>
          </w:p>
          <w:p w:rsidR="00487406" w:rsidRPr="00C936E0" w:rsidRDefault="00487406" w:rsidP="007E034D">
            <w:pPr>
              <w:widowControl/>
              <w:jc w:val="left"/>
              <w:rPr>
                <w:rStyle w:val="NormalCharacter"/>
              </w:rPr>
            </w:pPr>
            <w:r w:rsidRPr="00C936E0">
              <w:rPr>
                <w:rStyle w:val="NormalCharacter"/>
              </w:rPr>
              <w:t>3</w:t>
            </w:r>
            <w:r w:rsidRPr="00C936E0">
              <w:rPr>
                <w:rStyle w:val="NormalCharacter"/>
                <w:rFonts w:cs="宋体" w:hint="eastAsia"/>
              </w:rPr>
              <w:t>、相关管理制度办法的健全性及执行情况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1</w:t>
            </w:r>
            <w:r w:rsidRPr="00C936E0">
              <w:rPr>
                <w:rStyle w:val="NormalCharacter"/>
                <w:rFonts w:cs="宋体" w:hint="eastAsia"/>
              </w:rPr>
              <w:t>）收集并熟悉单位已有的（或拟订的）保证项目实施的制度、</w:t>
            </w:r>
          </w:p>
          <w:p w:rsidR="00487406" w:rsidRPr="00C936E0" w:rsidRDefault="00487406" w:rsidP="007E034D">
            <w:pPr>
              <w:widowControl/>
              <w:jc w:val="left"/>
              <w:rPr>
                <w:rStyle w:val="NormalCharacter"/>
              </w:rPr>
            </w:pPr>
            <w:r w:rsidRPr="00C936E0">
              <w:rPr>
                <w:rStyle w:val="NormalCharacter"/>
                <w:rFonts w:cs="宋体" w:hint="eastAsia"/>
              </w:rPr>
              <w:t>措施、资金管理办法等有关文件；</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2</w:t>
            </w:r>
            <w:r w:rsidRPr="00C936E0">
              <w:rPr>
                <w:rStyle w:val="NormalCharacter"/>
                <w:rFonts w:cs="宋体" w:hint="eastAsia"/>
              </w:rPr>
              <w:t>）分析项目有关管理制度办法的建设情况和执行情况，是否在</w:t>
            </w:r>
          </w:p>
          <w:p w:rsidR="00487406" w:rsidRPr="00C936E0" w:rsidRDefault="00487406" w:rsidP="007E034D">
            <w:pPr>
              <w:widowControl/>
              <w:jc w:val="left"/>
              <w:rPr>
                <w:rStyle w:val="NormalCharacter"/>
              </w:rPr>
            </w:pPr>
            <w:r w:rsidRPr="00C936E0">
              <w:rPr>
                <w:rStyle w:val="NormalCharacter"/>
                <w:rFonts w:cs="宋体" w:hint="eastAsia"/>
              </w:rPr>
              <w:t>项目的事前、事中、事后都起到监督、管理的作用；</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3</w:t>
            </w:r>
            <w:r w:rsidRPr="00C936E0">
              <w:rPr>
                <w:rStyle w:val="NormalCharacter"/>
                <w:rFonts w:cs="宋体" w:hint="eastAsia"/>
              </w:rPr>
              <w:t>）根据项目相关管理制度办法在运用过程中发现的有关制度</w:t>
            </w:r>
          </w:p>
          <w:p w:rsidR="00487406" w:rsidRPr="00C936E0" w:rsidRDefault="00487406" w:rsidP="007E034D">
            <w:pPr>
              <w:widowControl/>
              <w:jc w:val="left"/>
              <w:rPr>
                <w:rStyle w:val="NormalCharacter"/>
              </w:rPr>
            </w:pPr>
            <w:r w:rsidRPr="00C936E0">
              <w:rPr>
                <w:rStyle w:val="NormalCharacter"/>
                <w:rFonts w:cs="宋体" w:hint="eastAsia"/>
              </w:rPr>
              <w:t>制定的缺陷、漏洞，给服务单位提出具体、合理、具有可实施性的建议。</w:t>
            </w:r>
          </w:p>
          <w:p w:rsidR="00487406" w:rsidRPr="00C936E0" w:rsidRDefault="00487406" w:rsidP="007E034D">
            <w:pPr>
              <w:widowControl/>
              <w:jc w:val="left"/>
              <w:rPr>
                <w:rStyle w:val="NormalCharacter"/>
              </w:rPr>
            </w:pPr>
            <w:r w:rsidRPr="00C936E0">
              <w:rPr>
                <w:rStyle w:val="NormalCharacter"/>
              </w:rPr>
              <w:t>4</w:t>
            </w:r>
            <w:r w:rsidRPr="00C936E0">
              <w:rPr>
                <w:rStyle w:val="NormalCharacter"/>
                <w:rFonts w:cs="宋体" w:hint="eastAsia"/>
              </w:rPr>
              <w:t>、实现的产出情况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1</w:t>
            </w:r>
            <w:r w:rsidRPr="00C936E0">
              <w:rPr>
                <w:rStyle w:val="NormalCharacter"/>
                <w:rFonts w:cs="宋体" w:hint="eastAsia"/>
              </w:rPr>
              <w:t>）制定产出的评价指标，包括数量目标，质量目标等，然后根</w:t>
            </w:r>
          </w:p>
          <w:p w:rsidR="00487406" w:rsidRPr="00C936E0" w:rsidRDefault="00487406" w:rsidP="007E034D">
            <w:pPr>
              <w:widowControl/>
              <w:jc w:val="left"/>
              <w:rPr>
                <w:rStyle w:val="NormalCharacter"/>
              </w:rPr>
            </w:pPr>
            <w:r w:rsidRPr="00C936E0">
              <w:rPr>
                <w:rStyle w:val="NormalCharacter"/>
                <w:rFonts w:cs="宋体" w:hint="eastAsia"/>
              </w:rPr>
              <w:t>据设定的产出评价指标制定相应的绩效评价内容、实施期绩效目标值、当年度绩效标准、当年度绩效目标值；</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2</w:t>
            </w:r>
            <w:r w:rsidRPr="00C936E0">
              <w:rPr>
                <w:rStyle w:val="NormalCharacter"/>
                <w:rFonts w:cs="宋体" w:hint="eastAsia"/>
              </w:rPr>
              <w:t>）分析实现预期产出所需要的成本资源，即项目投入情况，包</w:t>
            </w:r>
          </w:p>
          <w:p w:rsidR="00487406" w:rsidRPr="00C936E0" w:rsidRDefault="00487406" w:rsidP="007E034D">
            <w:pPr>
              <w:widowControl/>
              <w:jc w:val="left"/>
              <w:rPr>
                <w:rStyle w:val="NormalCharacter"/>
              </w:rPr>
            </w:pPr>
            <w:r w:rsidRPr="00C936E0">
              <w:rPr>
                <w:rStyle w:val="NormalCharacter"/>
                <w:rFonts w:cs="宋体" w:hint="eastAsia"/>
              </w:rPr>
              <w:t>括时效成本和资金成本等；</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3</w:t>
            </w:r>
            <w:r w:rsidRPr="00C936E0">
              <w:rPr>
                <w:rStyle w:val="NormalCharacter"/>
                <w:rFonts w:cs="宋体" w:hint="eastAsia"/>
              </w:rPr>
              <w:t>）分析产出评价指标制定的合理性、实际产出和计划目标产出</w:t>
            </w:r>
          </w:p>
          <w:p w:rsidR="00487406" w:rsidRPr="00C936E0" w:rsidRDefault="00487406" w:rsidP="007E034D">
            <w:pPr>
              <w:widowControl/>
              <w:jc w:val="left"/>
              <w:rPr>
                <w:rStyle w:val="NormalCharacter"/>
              </w:rPr>
            </w:pPr>
            <w:r w:rsidRPr="00C936E0">
              <w:rPr>
                <w:rStyle w:val="NormalCharacter"/>
                <w:rFonts w:cs="宋体" w:hint="eastAsia"/>
              </w:rPr>
              <w:t>差异的原因。</w:t>
            </w:r>
          </w:p>
          <w:p w:rsidR="00487406" w:rsidRPr="00C936E0" w:rsidRDefault="00487406" w:rsidP="007E034D">
            <w:pPr>
              <w:widowControl/>
              <w:jc w:val="left"/>
              <w:rPr>
                <w:rStyle w:val="NormalCharacter"/>
              </w:rPr>
            </w:pPr>
            <w:r w:rsidRPr="00C936E0">
              <w:rPr>
                <w:rStyle w:val="NormalCharacter"/>
              </w:rPr>
              <w:t>5</w:t>
            </w:r>
            <w:r w:rsidRPr="00C936E0">
              <w:rPr>
                <w:rStyle w:val="NormalCharacter"/>
                <w:rFonts w:cs="宋体" w:hint="eastAsia"/>
              </w:rPr>
              <w:t>、取得的效益情况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1</w:t>
            </w:r>
            <w:r w:rsidRPr="00C936E0">
              <w:rPr>
                <w:rStyle w:val="NormalCharacter"/>
                <w:rFonts w:cs="宋体" w:hint="eastAsia"/>
              </w:rPr>
              <w:t>）预期效果，包括经济效益、社会效益、环境效益和可持续影</w:t>
            </w:r>
          </w:p>
          <w:p w:rsidR="00487406" w:rsidRPr="00C936E0" w:rsidRDefault="00487406" w:rsidP="007E034D">
            <w:pPr>
              <w:widowControl/>
              <w:jc w:val="left"/>
              <w:rPr>
                <w:rStyle w:val="NormalCharacter"/>
              </w:rPr>
            </w:pPr>
            <w:r w:rsidRPr="00C936E0">
              <w:rPr>
                <w:rStyle w:val="NormalCharacter"/>
                <w:rFonts w:cs="宋体" w:hint="eastAsia"/>
              </w:rPr>
              <w:t>响、服务对象或项目受益人满意度目标等，然后根据设定的预期效益评价指标制定具体的绩效评价内容、实施期绩效目标值、当年度绩效标准、当年度绩效目标值；</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2</w:t>
            </w:r>
            <w:r w:rsidRPr="00C936E0">
              <w:rPr>
                <w:rStyle w:val="NormalCharacter"/>
                <w:rFonts w:cs="宋体" w:hint="eastAsia"/>
              </w:rPr>
              <w:t>）分析取得的实际效益和计划目标效益产生差异的原因。</w:t>
            </w:r>
          </w:p>
          <w:p w:rsidR="00487406" w:rsidRPr="00C936E0" w:rsidRDefault="00487406" w:rsidP="007E034D">
            <w:pPr>
              <w:widowControl/>
              <w:jc w:val="left"/>
              <w:rPr>
                <w:rStyle w:val="NormalCharacter"/>
              </w:rPr>
            </w:pPr>
            <w:r w:rsidRPr="00C936E0">
              <w:rPr>
                <w:rStyle w:val="NormalCharacter"/>
              </w:rPr>
              <w:t>6</w:t>
            </w:r>
            <w:r w:rsidRPr="00C936E0">
              <w:rPr>
                <w:rStyle w:val="NormalCharacter"/>
                <w:rFonts w:cs="宋体" w:hint="eastAsia"/>
              </w:rPr>
              <w:t>、其他相关内容。</w:t>
            </w:r>
            <w:r w:rsidRPr="00C936E0">
              <w:rPr>
                <w:rStyle w:val="NormalCharacter"/>
              </w:rPr>
              <w:t xml:space="preserve"> </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1</w:t>
            </w:r>
            <w:r w:rsidRPr="00C936E0">
              <w:rPr>
                <w:rStyle w:val="NormalCharacter"/>
                <w:rFonts w:cs="宋体" w:hint="eastAsia"/>
              </w:rPr>
              <w:t>）绩效评价的结果反馈与应用，包括绩效目标公开情况、</w:t>
            </w:r>
          </w:p>
          <w:p w:rsidR="00487406" w:rsidRPr="00C936E0" w:rsidRDefault="00487406" w:rsidP="007E034D">
            <w:pPr>
              <w:widowControl/>
              <w:jc w:val="left"/>
              <w:rPr>
                <w:rStyle w:val="NormalCharacter"/>
              </w:rPr>
            </w:pPr>
            <w:r w:rsidRPr="00C936E0">
              <w:rPr>
                <w:rStyle w:val="NormalCharacter"/>
                <w:rFonts w:cs="宋体" w:hint="eastAsia"/>
              </w:rPr>
              <w:t>绩效评价结果公开情况、向上级报告、绩效管理信息应用于预算管理情况；</w:t>
            </w:r>
          </w:p>
          <w:p w:rsidR="00487406" w:rsidRPr="00C936E0" w:rsidRDefault="00487406" w:rsidP="007E034D">
            <w:pPr>
              <w:widowControl/>
              <w:jc w:val="left"/>
              <w:rPr>
                <w:rStyle w:val="NormalCharacter"/>
              </w:rPr>
            </w:pPr>
            <w:r w:rsidRPr="00C936E0">
              <w:rPr>
                <w:rStyle w:val="NormalCharacter"/>
                <w:rFonts w:cs="宋体" w:hint="eastAsia"/>
              </w:rPr>
              <w:t>（</w:t>
            </w:r>
            <w:r w:rsidRPr="00C936E0">
              <w:rPr>
                <w:rStyle w:val="NormalCharacter"/>
              </w:rPr>
              <w:t>2</w:t>
            </w:r>
            <w:r w:rsidRPr="00C936E0">
              <w:rPr>
                <w:rStyle w:val="NormalCharacter"/>
                <w:rFonts w:cs="宋体" w:hint="eastAsia"/>
              </w:rPr>
              <w:t>）绩效管理创新，包括目标管理创新、监控管理创新、评价管</w:t>
            </w:r>
          </w:p>
          <w:p w:rsidR="00487406" w:rsidRPr="00C936E0" w:rsidRDefault="00487406" w:rsidP="007E034D">
            <w:pPr>
              <w:widowControl/>
              <w:jc w:val="left"/>
              <w:rPr>
                <w:rStyle w:val="NormalCharacter"/>
              </w:rPr>
            </w:pPr>
            <w:r w:rsidRPr="00C936E0">
              <w:rPr>
                <w:rStyle w:val="NormalCharacter"/>
                <w:rFonts w:cs="宋体" w:hint="eastAsia"/>
              </w:rPr>
              <w:t>理创新等。</w:t>
            </w:r>
          </w:p>
          <w:p w:rsidR="00487406" w:rsidRPr="00C936E0" w:rsidRDefault="00487406" w:rsidP="007E034D">
            <w:pPr>
              <w:widowControl/>
              <w:jc w:val="left"/>
              <w:rPr>
                <w:rStyle w:val="NormalCharacter"/>
              </w:rPr>
            </w:pPr>
            <w:r w:rsidRPr="00C936E0">
              <w:rPr>
                <w:rStyle w:val="NormalCharacter"/>
                <w:rFonts w:cs="宋体" w:hint="eastAsia"/>
              </w:rPr>
              <w:t>（二）绩效评价服务计划主要包括以下方面：</w:t>
            </w:r>
          </w:p>
          <w:p w:rsidR="00487406" w:rsidRPr="00C936E0" w:rsidRDefault="00487406" w:rsidP="007E034D">
            <w:pPr>
              <w:widowControl/>
              <w:jc w:val="left"/>
              <w:rPr>
                <w:rStyle w:val="NormalCharacter"/>
              </w:rPr>
            </w:pPr>
            <w:r w:rsidRPr="00C936E0">
              <w:rPr>
                <w:rStyle w:val="NormalCharacter"/>
              </w:rPr>
              <w:t>1</w:t>
            </w:r>
            <w:r w:rsidRPr="00C936E0">
              <w:rPr>
                <w:rStyle w:val="NormalCharacter"/>
                <w:rFonts w:cs="宋体" w:hint="eastAsia"/>
              </w:rPr>
              <w:t>、评价准备阶段：组建绩效评价小组、与项目利益相关方沟通、制定绩效评价指标体系等；</w:t>
            </w:r>
          </w:p>
          <w:p w:rsidR="00487406" w:rsidRPr="00C936E0" w:rsidRDefault="00487406" w:rsidP="007E034D">
            <w:pPr>
              <w:widowControl/>
              <w:jc w:val="left"/>
              <w:rPr>
                <w:rStyle w:val="NormalCharacter"/>
              </w:rPr>
            </w:pPr>
            <w:r w:rsidRPr="00C936E0">
              <w:rPr>
                <w:rStyle w:val="NormalCharacter"/>
              </w:rPr>
              <w:t>2</w:t>
            </w:r>
            <w:r w:rsidRPr="00C936E0">
              <w:rPr>
                <w:rStyle w:val="NormalCharacter"/>
                <w:rFonts w:cs="宋体" w:hint="eastAsia"/>
              </w:rPr>
              <w:t>、评价实施阶段：收集资料、实地调研、整理分析资料等；</w:t>
            </w:r>
          </w:p>
          <w:p w:rsidR="00487406" w:rsidRPr="00C936E0" w:rsidRDefault="00487406" w:rsidP="007E034D">
            <w:pPr>
              <w:widowControl/>
              <w:jc w:val="left"/>
              <w:rPr>
                <w:rStyle w:val="NormalCharacter"/>
              </w:rPr>
            </w:pPr>
            <w:r w:rsidRPr="00C936E0">
              <w:rPr>
                <w:rStyle w:val="NormalCharacter"/>
              </w:rPr>
              <w:t>3</w:t>
            </w:r>
            <w:r w:rsidRPr="00C936E0">
              <w:rPr>
                <w:rStyle w:val="NormalCharacter"/>
                <w:rFonts w:cs="宋体" w:hint="eastAsia"/>
              </w:rPr>
              <w:t>、评价报告阶段：梳理问题与建议、形成绩效自评表初稿和绩效评价报告初稿、与项目利益相关方沟通、形成绩效自评表终稿和绩效评价报告终稿。</w:t>
            </w:r>
          </w:p>
          <w:p w:rsidR="00487406" w:rsidRPr="00C936E0" w:rsidRDefault="00487406" w:rsidP="007E034D">
            <w:pPr>
              <w:widowControl/>
              <w:jc w:val="left"/>
              <w:rPr>
                <w:rStyle w:val="NormalCharacter"/>
              </w:rPr>
            </w:pPr>
            <w:r w:rsidRPr="00C936E0">
              <w:rPr>
                <w:rStyle w:val="NormalCharacter"/>
              </w:rPr>
              <w:t>4</w:t>
            </w:r>
            <w:r w:rsidRPr="00C936E0">
              <w:rPr>
                <w:rStyle w:val="NormalCharacter"/>
                <w:rFonts w:cs="宋体" w:hint="eastAsia"/>
              </w:rPr>
              <w:t>、要求中标人于</w:t>
            </w:r>
            <w:r w:rsidRPr="00C936E0">
              <w:rPr>
                <w:rStyle w:val="NormalCharacter"/>
              </w:rPr>
              <w:t>7</w:t>
            </w:r>
            <w:r w:rsidRPr="00C936E0">
              <w:rPr>
                <w:rStyle w:val="NormalCharacter"/>
                <w:rFonts w:cs="宋体" w:hint="eastAsia"/>
              </w:rPr>
              <w:t>日内完成采购方要求的相关评价服务内容。</w:t>
            </w:r>
          </w:p>
          <w:p w:rsidR="00487406" w:rsidRPr="00C936E0" w:rsidRDefault="00487406" w:rsidP="007E034D">
            <w:pPr>
              <w:widowControl/>
              <w:jc w:val="left"/>
              <w:rPr>
                <w:rStyle w:val="NormalCharacter"/>
              </w:rPr>
            </w:pPr>
            <w:r w:rsidRPr="00C936E0">
              <w:rPr>
                <w:rStyle w:val="NormalCharacter"/>
                <w:rFonts w:cs="宋体" w:hint="eastAsia"/>
              </w:rPr>
              <w:t>四、绩效评价技术手段</w:t>
            </w:r>
          </w:p>
          <w:p w:rsidR="00487406" w:rsidRPr="00C936E0" w:rsidRDefault="00487406" w:rsidP="007E034D">
            <w:pPr>
              <w:widowControl/>
              <w:jc w:val="left"/>
              <w:rPr>
                <w:rStyle w:val="NormalCharacter"/>
              </w:rPr>
            </w:pPr>
            <w:r w:rsidRPr="00C936E0">
              <w:rPr>
                <w:rStyle w:val="NormalCharacter"/>
                <w:rFonts w:cs="宋体" w:hint="eastAsia"/>
              </w:rPr>
              <w:t>（一）资料收集方法：根据</w:t>
            </w:r>
            <w:r w:rsidRPr="00C936E0">
              <w:rPr>
                <w:rStyle w:val="NormalCharacter"/>
              </w:rPr>
              <w:t>12</w:t>
            </w:r>
            <w:r w:rsidRPr="00C936E0">
              <w:rPr>
                <w:rStyle w:val="NormalCharacter"/>
                <w:rFonts w:cs="宋体" w:hint="eastAsia"/>
              </w:rPr>
              <w:t>个项目专项资金绩效评价项目的特点，主要采用调查、访谈、观察以及检查书面文件等方法收集资料。</w:t>
            </w:r>
          </w:p>
          <w:p w:rsidR="00487406" w:rsidRPr="00C936E0" w:rsidRDefault="00487406" w:rsidP="007E034D">
            <w:pPr>
              <w:widowControl/>
              <w:jc w:val="left"/>
              <w:rPr>
                <w:rStyle w:val="NormalCharacter"/>
              </w:rPr>
            </w:pPr>
            <w:r w:rsidRPr="00C936E0">
              <w:rPr>
                <w:rStyle w:val="NormalCharacter"/>
                <w:rFonts w:cs="宋体" w:hint="eastAsia"/>
              </w:rPr>
              <w:t>（二）资料分析方法：根据</w:t>
            </w:r>
            <w:r w:rsidRPr="00C936E0">
              <w:rPr>
                <w:rStyle w:val="NormalCharacter"/>
              </w:rPr>
              <w:t>12</w:t>
            </w:r>
            <w:r w:rsidRPr="00C936E0">
              <w:rPr>
                <w:rStyle w:val="NormalCharacter"/>
                <w:rFonts w:cs="宋体" w:hint="eastAsia"/>
              </w:rPr>
              <w:t>个项目专项资金绩效评价项目的特点，主要采用计算复核、比率分析、趋势分析、进行与既定标准或行业基准的对比分析等定量分析，以及对非量化指标的定性分析。</w:t>
            </w:r>
            <w:r w:rsidRPr="00C936E0">
              <w:rPr>
                <w:rStyle w:val="NormalCharacter"/>
              </w:rPr>
              <w:t xml:space="preserve"> </w:t>
            </w:r>
          </w:p>
          <w:p w:rsidR="00487406" w:rsidRPr="00FA46D7" w:rsidRDefault="00487406" w:rsidP="007E034D">
            <w:pPr>
              <w:widowControl/>
              <w:jc w:val="left"/>
              <w:rPr>
                <w:rFonts w:ascii="宋体"/>
                <w:b/>
                <w:bCs/>
                <w:color w:val="000000"/>
                <w:kern w:val="0"/>
                <w:sz w:val="20"/>
                <w:szCs w:val="20"/>
              </w:rPr>
            </w:pPr>
            <w:r w:rsidRPr="00C936E0">
              <w:rPr>
                <w:rStyle w:val="NormalCharacter"/>
              </w:rPr>
              <w:t xml:space="preserve">     </w:t>
            </w:r>
            <w:r w:rsidRPr="00C936E0">
              <w:rPr>
                <w:rStyle w:val="NormalCharacter"/>
                <w:rFonts w:cs="宋体" w:hint="eastAsia"/>
              </w:rPr>
              <w:t>（三）因本项目特殊性，要求各潜在投标人于投标截止时间前到采购单位了解实际评价需求及项目概况，此现场概况知悉函参与本项目报名。</w:t>
            </w:r>
          </w:p>
        </w:tc>
      </w:tr>
    </w:tbl>
    <w:p w:rsidR="00487406" w:rsidRPr="00CF0E3B" w:rsidRDefault="00487406" w:rsidP="00EA01E6">
      <w:pPr>
        <w:spacing w:line="500" w:lineRule="exact"/>
        <w:rPr>
          <w:rFonts w:ascii="宋体"/>
          <w:color w:val="000000"/>
          <w:sz w:val="24"/>
          <w:szCs w:val="24"/>
        </w:rPr>
      </w:pPr>
    </w:p>
    <w:p w:rsidR="00487406" w:rsidRDefault="00487406"/>
    <w:sectPr w:rsidR="00487406" w:rsidSect="00EA01E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406" w:rsidRDefault="00487406" w:rsidP="00EA01E6">
      <w:r>
        <w:separator/>
      </w:r>
    </w:p>
  </w:endnote>
  <w:endnote w:type="continuationSeparator" w:id="0">
    <w:p w:rsidR="00487406" w:rsidRDefault="00487406" w:rsidP="00EA01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406" w:rsidRDefault="00487406" w:rsidP="00EA01E6">
      <w:r>
        <w:separator/>
      </w:r>
    </w:p>
  </w:footnote>
  <w:footnote w:type="continuationSeparator" w:id="0">
    <w:p w:rsidR="00487406" w:rsidRDefault="00487406" w:rsidP="00EA0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7449"/>
    <w:rsid w:val="0004670D"/>
    <w:rsid w:val="000E465C"/>
    <w:rsid w:val="001C61E5"/>
    <w:rsid w:val="00410F1E"/>
    <w:rsid w:val="00421EDA"/>
    <w:rsid w:val="004657FB"/>
    <w:rsid w:val="004709BB"/>
    <w:rsid w:val="00487406"/>
    <w:rsid w:val="00496619"/>
    <w:rsid w:val="00510BE9"/>
    <w:rsid w:val="0051447C"/>
    <w:rsid w:val="00523279"/>
    <w:rsid w:val="00575C51"/>
    <w:rsid w:val="005D2D0B"/>
    <w:rsid w:val="00757EC5"/>
    <w:rsid w:val="007E034D"/>
    <w:rsid w:val="007F5267"/>
    <w:rsid w:val="00910E69"/>
    <w:rsid w:val="00930FDA"/>
    <w:rsid w:val="00A60D41"/>
    <w:rsid w:val="00C936E0"/>
    <w:rsid w:val="00CF0E3B"/>
    <w:rsid w:val="00D67449"/>
    <w:rsid w:val="00EA01E6"/>
    <w:rsid w:val="00EA7D7B"/>
    <w:rsid w:val="00FA46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E6"/>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01E6"/>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EA01E6"/>
    <w:rPr>
      <w:sz w:val="18"/>
      <w:szCs w:val="18"/>
    </w:rPr>
  </w:style>
  <w:style w:type="paragraph" w:styleId="Footer">
    <w:name w:val="footer"/>
    <w:basedOn w:val="Normal"/>
    <w:link w:val="FooterChar"/>
    <w:uiPriority w:val="99"/>
    <w:rsid w:val="00EA01E6"/>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EA01E6"/>
    <w:rPr>
      <w:sz w:val="18"/>
      <w:szCs w:val="18"/>
    </w:rPr>
  </w:style>
  <w:style w:type="character" w:customStyle="1" w:styleId="NormalCharacter">
    <w:name w:val="NormalCharacter"/>
    <w:uiPriority w:val="99"/>
    <w:semiHidden/>
    <w:rsid w:val="00EA01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276</Words>
  <Characters>1576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Windows</dc:creator>
  <cp:keywords/>
  <dc:description/>
  <cp:lastModifiedBy>Users</cp:lastModifiedBy>
  <cp:revision>3</cp:revision>
  <dcterms:created xsi:type="dcterms:W3CDTF">2020-04-13T07:11:00Z</dcterms:created>
  <dcterms:modified xsi:type="dcterms:W3CDTF">2020-04-14T06:55:00Z</dcterms:modified>
</cp:coreProperties>
</file>