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color w:val="auto"/>
          <w:kern w:val="1"/>
          <w:sz w:val="28"/>
          <w:szCs w:val="28"/>
        </w:rPr>
      </w:pPr>
      <w:r>
        <w:rPr>
          <w:rFonts w:hint="eastAsia" w:ascii="宋体" w:hAnsi="宋体" w:cs="宋体"/>
          <w:b/>
          <w:color w:val="auto"/>
          <w:kern w:val="1"/>
          <w:sz w:val="28"/>
          <w:szCs w:val="28"/>
        </w:rPr>
        <w:t>工程量清单</w:t>
      </w:r>
      <w:r>
        <w:rPr>
          <w:rFonts w:ascii="宋体" w:hAnsi="宋体" w:cs="宋体"/>
          <w:b/>
          <w:color w:val="auto"/>
          <w:kern w:val="1"/>
          <w:sz w:val="28"/>
          <w:szCs w:val="28"/>
        </w:rPr>
        <w:t>编制说明</w:t>
      </w:r>
    </w:p>
    <w:p>
      <w:pPr>
        <w:spacing w:line="360" w:lineRule="auto"/>
        <w:jc w:val="left"/>
        <w:rPr>
          <w:rFonts w:ascii="宋体" w:hAnsi="宋体" w:cs="仿宋_GB2312"/>
          <w:color w:val="auto"/>
          <w:kern w:val="1"/>
          <w:sz w:val="28"/>
          <w:szCs w:val="28"/>
        </w:rPr>
      </w:pPr>
      <w:r>
        <w:rPr>
          <w:rFonts w:ascii="宋体" w:hAnsi="宋体" w:cs="仿宋_GB2312"/>
          <w:b/>
          <w:bCs/>
          <w:color w:val="auto"/>
          <w:kern w:val="1"/>
          <w:sz w:val="28"/>
          <w:szCs w:val="28"/>
        </w:rPr>
        <w:t>工程名称：</w:t>
      </w:r>
      <w:r>
        <w:rPr>
          <w:rFonts w:hint="eastAsia" w:ascii="宋体" w:hAnsi="宋体"/>
          <w:sz w:val="28"/>
          <w:szCs w:val="28"/>
          <w:u w:val="single"/>
        </w:rPr>
        <w:t>金福集团园区裕晟广场围墙项目</w:t>
      </w:r>
    </w:p>
    <w:tbl>
      <w:tblPr>
        <w:tblStyle w:val="5"/>
        <w:tblW w:w="0" w:type="auto"/>
        <w:tblInd w:w="-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9" w:hRule="atLeast"/>
        </w:trPr>
        <w:tc>
          <w:tcPr>
            <w:tcW w:w="9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2"/>
              <w:textAlignment w:val="auto"/>
              <w:rPr>
                <w:rFonts w:ascii="宋体" w:hAnsi="宋体" w:cs="仿宋_GB2312"/>
                <w:b/>
                <w:color w:val="auto"/>
                <w:kern w:val="1"/>
                <w:sz w:val="28"/>
                <w:szCs w:val="28"/>
              </w:rPr>
            </w:pPr>
            <w:r>
              <w:rPr>
                <w:rFonts w:ascii="宋体" w:hAnsi="宋体" w:cs="仿宋_GB2312"/>
                <w:b/>
                <w:color w:val="auto"/>
                <w:kern w:val="1"/>
                <w:sz w:val="28"/>
                <w:szCs w:val="28"/>
              </w:rPr>
              <w:t>一、工程概况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1、建设地点：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CN"/>
              </w:rPr>
              <w:t>福州市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2、工程专业：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CN"/>
              </w:rPr>
              <w:t>室外总体工程、安装工程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3、合同工期：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宋体" w:hAnsi="宋体"/>
                <w:sz w:val="28"/>
                <w:szCs w:val="28"/>
              </w:rPr>
              <w:t>工程质量等级：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CN"/>
              </w:rPr>
              <w:t>合格工程</w:t>
            </w:r>
            <w:r>
              <w:rPr>
                <w:rFonts w:hint="eastAsia" w:ascii="宋体" w:hAnsi="宋体"/>
                <w:sz w:val="28"/>
                <w:szCs w:val="28"/>
              </w:rPr>
              <w:t>;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-108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right="71" w:rightChars="34" w:firstLine="560" w:firstLineChars="200"/>
              <w:textAlignment w:val="auto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4、招标范围：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>福建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eastAsia="zh-CN"/>
              </w:rPr>
              <w:t>大天建筑装饰设计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>有限公司设计的</w:t>
            </w:r>
            <w:r>
              <w:rPr>
                <w:rFonts w:hint="eastAsia" w:ascii="宋体" w:hAnsi="宋体"/>
                <w:kern w:val="1"/>
                <w:sz w:val="28"/>
                <w:szCs w:val="28"/>
                <w:u w:val="single"/>
              </w:rPr>
              <w:t>图纸范围内</w:t>
            </w:r>
            <w:r>
              <w:rPr>
                <w:rFonts w:hint="eastAsia" w:ascii="宋体" w:hAnsi="宋体"/>
                <w:kern w:val="1"/>
                <w:sz w:val="28"/>
                <w:szCs w:val="28"/>
                <w:u w:val="single"/>
                <w:lang w:eastAsia="zh-CN"/>
              </w:rPr>
              <w:t>室外总体</w:t>
            </w:r>
            <w:r>
              <w:rPr>
                <w:rFonts w:hint="eastAsia" w:ascii="宋体" w:hAnsi="宋体"/>
                <w:kern w:val="1"/>
                <w:sz w:val="28"/>
                <w:szCs w:val="28"/>
                <w:u w:val="single"/>
              </w:rPr>
              <w:t>工程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>、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eastAsia="zh-CN"/>
              </w:rPr>
              <w:t>安装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>工</w:t>
            </w:r>
            <w:r>
              <w:rPr>
                <w:rFonts w:hint="eastAsia" w:ascii="宋体" w:hAnsi="宋体"/>
                <w:kern w:val="1"/>
                <w:sz w:val="28"/>
                <w:szCs w:val="28"/>
                <w:u w:val="single"/>
              </w:rPr>
              <w:t>程等</w:t>
            </w:r>
            <w:r>
              <w:rPr>
                <w:rFonts w:hint="eastAsia" w:ascii="宋体" w:hAnsi="宋体"/>
                <w:color w:val="auto"/>
                <w:sz w:val="28"/>
                <w:szCs w:val="28"/>
              </w:rPr>
              <w:t>；</w:t>
            </w:r>
            <w:r>
              <w:rPr>
                <w:rFonts w:hint="eastAsia" w:ascii="宋体" w:hAnsi="宋体"/>
                <w:bCs/>
                <w:color w:val="auto"/>
                <w:sz w:val="28"/>
                <w:szCs w:val="28"/>
              </w:rPr>
              <w:t>单独发包的专业工程：</w:t>
            </w:r>
            <w:r>
              <w:rPr>
                <w:rFonts w:hint="eastAsia" w:ascii="宋体" w:hAnsi="宋体"/>
                <w:bCs/>
                <w:color w:val="auto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color w:val="auto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color w:val="auto"/>
                <w:sz w:val="28"/>
                <w:szCs w:val="28"/>
                <w:u w:val="single"/>
              </w:rPr>
              <w:t xml:space="preserve">无   </w:t>
            </w:r>
            <w:r>
              <w:rPr>
                <w:rFonts w:hint="eastAsia" w:ascii="宋体" w:hAnsi="宋体"/>
                <w:bCs/>
                <w:color w:val="auto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5、工程特征：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560" w:firstLineChars="200"/>
              <w:textAlignment w:val="auto"/>
              <w:rPr>
                <w:rFonts w:hint="eastAsia" w:ascii="宋体" w:hAnsi="宋体" w:cs="仿宋_GB2312"/>
                <w:spacing w:val="-2"/>
                <w:kern w:val="1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（1）</w:t>
            </w:r>
            <w:r>
              <w:rPr>
                <w:rFonts w:hint="eastAsia" w:ascii="宋体" w:hAnsi="宋体" w:cs="仿宋_GB2312"/>
                <w:spacing w:val="-2"/>
                <w:kern w:val="1"/>
                <w:sz w:val="28"/>
                <w:szCs w:val="28"/>
              </w:rPr>
              <w:t>工程概况</w:t>
            </w:r>
            <w:r>
              <w:rPr>
                <w:rFonts w:ascii="宋体" w:hAnsi="宋体" w:cs="仿宋_GB2312"/>
                <w:spacing w:val="-2"/>
                <w:kern w:val="1"/>
                <w:sz w:val="28"/>
                <w:szCs w:val="28"/>
              </w:rPr>
              <w:t>：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本项目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位于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福建省福州市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,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主要内容有新建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围墙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，总长141m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、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格栅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排水沟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长20.4m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、水景工程、零星项目</w:t>
            </w:r>
            <w:r>
              <w:rPr>
                <w:rFonts w:hint="eastAsia" w:ascii="宋体" w:hAnsi="宋体" w:cs="宋体"/>
                <w:color w:val="auto"/>
                <w:kern w:val="2"/>
                <w:sz w:val="28"/>
                <w:szCs w:val="28"/>
                <w:u w:val="single"/>
                <w:lang w:val="en-US" w:eastAsia="zh-CN" w:bidi="ar-SA"/>
              </w:rPr>
              <w:t>及安装工程等</w:t>
            </w:r>
            <w:r>
              <w:rPr>
                <w:rFonts w:hint="eastAsia" w:ascii="宋体" w:hAnsi="宋体"/>
                <w:color w:val="auto"/>
                <w:sz w:val="28"/>
                <w:szCs w:val="28"/>
                <w:u w:val="singl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548"/>
              <w:textAlignment w:val="auto"/>
              <w:rPr>
                <w:rFonts w:ascii="宋体" w:hAnsi="宋体" w:cs="仿宋_GB2312"/>
                <w:b/>
                <w:color w:val="auto"/>
                <w:kern w:val="1"/>
                <w:sz w:val="28"/>
                <w:szCs w:val="28"/>
              </w:rPr>
            </w:pPr>
            <w:r>
              <w:rPr>
                <w:rFonts w:ascii="宋体" w:hAnsi="宋体" w:cs="仿宋_GB2312"/>
                <w:spacing w:val="-2"/>
                <w:kern w:val="1"/>
                <w:sz w:val="28"/>
                <w:szCs w:val="28"/>
              </w:rPr>
              <w:t>（</w:t>
            </w:r>
            <w:r>
              <w:rPr>
                <w:rFonts w:hint="eastAsia" w:ascii="宋体" w:hAnsi="宋体" w:cs="仿宋_GB2312"/>
                <w:spacing w:val="-2"/>
                <w:kern w:val="1"/>
                <w:sz w:val="28"/>
                <w:szCs w:val="28"/>
                <w:lang w:val="en-US" w:eastAsia="zh-CN"/>
              </w:rPr>
              <w:t>2</w:t>
            </w:r>
            <w:r>
              <w:rPr>
                <w:rFonts w:ascii="宋体" w:hAnsi="宋体" w:cs="仿宋_GB2312"/>
                <w:spacing w:val="-2"/>
                <w:kern w:val="1"/>
                <w:sz w:val="28"/>
                <w:szCs w:val="28"/>
              </w:rPr>
              <w:t>）</w:t>
            </w:r>
            <w:r>
              <w:rPr>
                <w:rFonts w:ascii="宋体" w:hAnsi="宋体" w:cs="仿宋_GB2312"/>
                <w:sz w:val="28"/>
                <w:szCs w:val="28"/>
              </w:rPr>
              <w:t>混凝土情况：</w:t>
            </w:r>
            <w:r>
              <w:rPr>
                <w:rFonts w:ascii="宋体" w:hAnsi="宋体" w:cs="仿宋_GB2312"/>
                <w:sz w:val="28"/>
                <w:szCs w:val="28"/>
                <w:u w:val="single"/>
              </w:rPr>
              <w:t>商品混凝土</w:t>
            </w:r>
            <w:r>
              <w:rPr>
                <w:rFonts w:ascii="宋体" w:hAnsi="宋体" w:cs="仿宋_GB2312"/>
                <w:sz w:val="28"/>
                <w:szCs w:val="28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52"/>
              <w:textAlignment w:val="auto"/>
              <w:rPr>
                <w:rFonts w:ascii="宋体" w:hAnsi="宋体" w:cs="仿宋_GB2312"/>
                <w:b/>
                <w:color w:val="auto"/>
                <w:kern w:val="1"/>
                <w:sz w:val="28"/>
                <w:szCs w:val="28"/>
              </w:rPr>
            </w:pPr>
            <w:r>
              <w:rPr>
                <w:rFonts w:ascii="宋体" w:hAnsi="宋体" w:cs="仿宋_GB2312"/>
                <w:b/>
                <w:color w:val="auto"/>
                <w:kern w:val="1"/>
                <w:sz w:val="28"/>
                <w:szCs w:val="28"/>
              </w:rPr>
              <w:t>二、编制范围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/>
              <w:textAlignment w:val="auto"/>
              <w:rPr>
                <w:rFonts w:ascii="宋体" w:hAnsi="宋体" w:cs="仿宋_GB2312"/>
                <w:b/>
                <w:color w:val="auto"/>
                <w:kern w:val="1"/>
                <w:sz w:val="28"/>
                <w:szCs w:val="28"/>
              </w:rPr>
            </w:pP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</w:rPr>
              <w:t>按照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>福建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eastAsia="zh-CN"/>
              </w:rPr>
              <w:t>大天建筑装饰设计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>有限公司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</w:rPr>
              <w:t>设计的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eastAsia="zh-CN"/>
              </w:rPr>
              <w:t>金福集团园区裕晟广场围墙项目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</w:rPr>
              <w:t>施工图纸，编制范围包括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CN"/>
              </w:rPr>
              <w:t>室外总体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eastAsia="zh-CN"/>
              </w:rPr>
              <w:t>工程、安装工程</w:t>
            </w:r>
            <w:r>
              <w:rPr>
                <w:rFonts w:hint="eastAsia" w:ascii="宋体" w:hAnsi="宋体"/>
                <w:kern w:val="1"/>
                <w:sz w:val="28"/>
                <w:szCs w:val="28"/>
                <w:u w:val="single"/>
              </w:rPr>
              <w:t>等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2"/>
              <w:textAlignment w:val="auto"/>
              <w:rPr>
                <w:rFonts w:ascii="宋体" w:hAnsi="宋体" w:cs="仿宋_GB2312"/>
                <w:b/>
                <w:color w:val="auto"/>
                <w:kern w:val="1"/>
                <w:sz w:val="28"/>
                <w:szCs w:val="28"/>
              </w:rPr>
            </w:pPr>
            <w:r>
              <w:rPr>
                <w:rFonts w:ascii="宋体" w:hAnsi="宋体" w:cs="仿宋_GB2312"/>
                <w:b/>
                <w:color w:val="auto"/>
                <w:kern w:val="1"/>
                <w:sz w:val="28"/>
                <w:szCs w:val="28"/>
              </w:rPr>
              <w:t>三、编制依据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/>
              <w:textAlignment w:val="auto"/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</w:rPr>
            </w:pP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</w:rPr>
              <w:t>1</w:t>
            </w: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</w:rPr>
              <w:t>.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</w:rPr>
              <w:t>图纸：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eastAsia="zh-CN"/>
              </w:rPr>
              <w:t>金福集团园区裕晟广场围墙项目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</w:rPr>
              <w:t>(</w:t>
            </w: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</w:rPr>
              <w:t>日期20</w:t>
            </w: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</w:rPr>
              <w:t>.</w:t>
            </w: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</w:rPr>
              <w:t>月纸质版及电子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</w:rPr>
              <w:t>版)的施工图纸</w:t>
            </w: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</w:rPr>
              <w:t>、及业主、设计往来联系函等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</w:rPr>
              <w:t>资料</w:t>
            </w: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招标文件：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。其中与现行计价规定不一致的内容：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无   </w:t>
            </w:r>
            <w:r>
              <w:rPr>
                <w:rFonts w:hint="eastAsia" w:ascii="宋体" w:hAnsi="宋体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3.</w:t>
            </w:r>
            <w:r>
              <w:rPr>
                <w:rFonts w:hint="eastAsia" w:ascii="宋体" w:hAnsi="宋体"/>
                <w:sz w:val="28"/>
                <w:szCs w:val="28"/>
              </w:rPr>
              <w:t>地质勘察报告：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/>
              <w:textAlignment w:val="auto"/>
              <w:rPr>
                <w:rFonts w:ascii="宋体" w:hAnsi="宋体" w:cs="仿宋_GB2312"/>
                <w:color w:val="auto"/>
                <w:kern w:val="1"/>
                <w:sz w:val="28"/>
                <w:szCs w:val="28"/>
                <w:u w:val="single"/>
              </w:rPr>
            </w:pP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  <w:u w:val="none"/>
              </w:rPr>
              <w:t>4.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  <w:u w:val="none"/>
              </w:rPr>
              <w:t>计价计量规范：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u w:val="single"/>
              </w:rPr>
              <w:t>《建设工程工程量清单计价规范》（GB50500-2013）、《房屋建筑与装饰工程工程量计算规范》（GB50854-2013）福建省实施细则、《市政工程工程量计算规范》（GB50857-2013）福建省实施细则、《园林绿化工程工程量计算规范》（GB50858-2013）福建省实施细则</w:t>
            </w:r>
            <w:r>
              <w:rPr>
                <w:rFonts w:hint="eastAsia" w:ascii="宋体" w:hAnsi="宋体" w:cs="宋体"/>
                <w:bCs/>
                <w:sz w:val="28"/>
                <w:szCs w:val="28"/>
                <w:u w:val="single"/>
                <w:lang w:eastAsia="zh-CN"/>
              </w:rPr>
              <w:t>、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>《通用安装工程工程量计算规范》（GB50856-2013）福建省实施细则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  <w:u w:val="single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/>
              <w:textAlignment w:val="auto"/>
              <w:rPr>
                <w:rFonts w:ascii="宋体" w:hAnsi="宋体" w:cs="仿宋_GB2312"/>
                <w:color w:val="auto"/>
                <w:kern w:val="1"/>
                <w:sz w:val="28"/>
                <w:szCs w:val="28"/>
                <w:u w:val="single"/>
              </w:rPr>
            </w:pP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</w:rPr>
              <w:t>5.预算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</w:rPr>
              <w:t>定额</w:t>
            </w: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</w:rPr>
              <w:t>: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u w:val="single"/>
              </w:rPr>
              <w:t>《福建省房屋建筑与装饰工程预算定额》（FJYD-101-2017）、《福建省市政工程预算定额》(FJYD-401-2017～FJYD-409-2017)、《福建省园林绿化工程预算定额》(FJYD-501-2017)、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>《福建省通用安装工程预算定额》（FJYD-301~311-2017）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u w:val="single"/>
              </w:rPr>
              <w:t>及现行补充或调整文件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highlight w:val="none"/>
                <w:u w:val="single"/>
              </w:rPr>
              <w:t>（截止20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highlight w:val="none"/>
                <w:u w:val="single"/>
              </w:rPr>
              <w:t>年</w:t>
            </w:r>
            <w:r>
              <w:rPr>
                <w:rFonts w:hint="eastAsia" w:ascii="宋体" w:hAnsi="宋体" w:cs="宋体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highlight w:val="none"/>
                <w:u w:val="single"/>
              </w:rPr>
              <w:t>月</w:t>
            </w:r>
            <w:r>
              <w:rPr>
                <w:rFonts w:hint="eastAsia" w:ascii="宋体" w:hAnsi="宋体" w:cs="宋体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highlight w:val="none"/>
                <w:u w:val="single"/>
              </w:rPr>
              <w:t>日）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  <w:u w:val="single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2"/>
              <w:textAlignment w:val="auto"/>
              <w:rPr>
                <w:rFonts w:hint="eastAsia" w:ascii="宋体" w:hAnsi="宋体" w:cs="仿宋_GB2312"/>
                <w:b/>
                <w:color w:val="auto"/>
                <w:kern w:val="1"/>
                <w:sz w:val="28"/>
                <w:szCs w:val="28"/>
                <w:lang w:eastAsia="zh-CN"/>
              </w:rPr>
            </w:pP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  <w:u w:val="none"/>
              </w:rPr>
              <w:t>6</w:t>
            </w: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  <w:u w:val="none"/>
              </w:rPr>
              <w:t>.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  <w:u w:val="none"/>
              </w:rPr>
              <w:t>费用定额：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  <w:u w:val="single"/>
              </w:rPr>
              <w:t>《福建省建筑安装工程费用定额》（20</w:t>
            </w: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  <w:u w:val="single"/>
              </w:rPr>
              <w:t>17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  <w:u w:val="single"/>
              </w:rPr>
              <w:t>版）及执行最新的文件调整（截止20</w:t>
            </w: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  <w:u w:val="single"/>
                <w:lang w:val="en-US" w:eastAsia="zh-CN"/>
              </w:rPr>
              <w:t>20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  <w:u w:val="single"/>
              </w:rPr>
              <w:t>年</w:t>
            </w:r>
            <w:r>
              <w:rPr>
                <w:rFonts w:hint="eastAsia" w:ascii="宋体" w:hAnsi="宋体" w:cs="仿宋_GB2312"/>
                <w:color w:val="auto"/>
                <w:kern w:val="1"/>
                <w:sz w:val="28"/>
                <w:szCs w:val="28"/>
                <w:u w:val="single"/>
                <w:lang w:val="en-US" w:eastAsia="zh-CN"/>
              </w:rPr>
              <w:t>11</w:t>
            </w:r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  <w:u w:val="single"/>
              </w:rPr>
              <w:t>月</w:t>
            </w:r>
            <w:r>
              <w:rPr>
                <w:rFonts w:hint="eastAsia" w:ascii="宋体" w:hAnsi="宋体" w:cs="宋体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ascii="宋体" w:hAnsi="宋体" w:cs="仿宋_GB2312"/>
                <w:color w:val="auto"/>
                <w:kern w:val="1"/>
                <w:sz w:val="28"/>
                <w:szCs w:val="28"/>
                <w:u w:val="single"/>
              </w:rPr>
              <w:t>日以前颁布的有关工程造价政策性调整文件）；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其中，</w:t>
            </w:r>
            <w:r>
              <w:rPr>
                <w:rFonts w:hint="eastAsia" w:ascii="宋体" w:hAnsi="宋体"/>
                <w:bCs/>
                <w:color w:val="auto"/>
                <w:sz w:val="28"/>
                <w:szCs w:val="28"/>
              </w:rPr>
              <w:t>暂列金额：</w:t>
            </w:r>
            <w:r>
              <w:rPr>
                <w:rFonts w:hint="eastAsia" w:ascii="宋体" w:hAnsi="宋体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15000元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；专业工程暂估价：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；甲供材料费：</w:t>
            </w:r>
            <w:r>
              <w:rPr>
                <w:rFonts w:hint="eastAsia" w:ascii="宋体" w:hAnsi="宋体"/>
                <w:bCs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宋体" w:hAnsi="宋体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Cs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  <w:tab w:val="left" w:pos="1026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2" w:firstLineChars="200"/>
              <w:textAlignment w:val="auto"/>
              <w:rPr>
                <w:rFonts w:ascii="宋体" w:hAnsi="宋体" w:cs="仿宋_GB2312"/>
                <w:b/>
                <w:color w:val="auto"/>
                <w:kern w:val="1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b/>
                <w:color w:val="auto"/>
                <w:kern w:val="1"/>
                <w:sz w:val="28"/>
                <w:szCs w:val="28"/>
                <w:lang w:eastAsia="zh-CN"/>
              </w:rPr>
              <w:t>四</w:t>
            </w:r>
            <w:r>
              <w:rPr>
                <w:rFonts w:ascii="宋体" w:hAnsi="宋体" w:cs="仿宋_GB2312"/>
                <w:b/>
                <w:color w:val="auto"/>
                <w:kern w:val="1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8"/>
                <w:szCs w:val="28"/>
              </w:rPr>
              <w:t>材料设备品牌及甲供材料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1.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招标人要求的材料设备品牌</w:t>
            </w:r>
          </w:p>
          <w:tbl>
            <w:tblPr>
              <w:tblStyle w:val="5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15"/>
              <w:gridCol w:w="2941"/>
              <w:gridCol w:w="2628"/>
              <w:gridCol w:w="7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9" w:hRule="atLeast"/>
                <w:jc w:val="center"/>
              </w:trPr>
              <w:tc>
                <w:tcPr>
                  <w:tcW w:w="2015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2941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2628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752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201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580" w:lineRule="exact"/>
                    <w:jc w:val="left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bCs/>
                      <w:sz w:val="28"/>
                      <w:szCs w:val="28"/>
                      <w:lang w:eastAsia="zh-CN"/>
                    </w:rPr>
                    <w:t>无</w:t>
                  </w:r>
                </w:p>
              </w:tc>
              <w:tc>
                <w:tcPr>
                  <w:tcW w:w="2941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62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580" w:lineRule="exact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52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2.甲供材料一览表</w:t>
            </w:r>
          </w:p>
          <w:tbl>
            <w:tblPr>
              <w:tblStyle w:val="5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81"/>
              <w:gridCol w:w="1392"/>
              <w:gridCol w:w="1263"/>
              <w:gridCol w:w="1721"/>
              <w:gridCol w:w="118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70" w:hRule="atLeast"/>
                <w:jc w:val="center"/>
              </w:trPr>
              <w:tc>
                <w:tcPr>
                  <w:tcW w:w="2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1392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263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172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eastAsia="zh-CN"/>
                    </w:rPr>
                    <w:t>不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含税单价（元）</w:t>
                  </w:r>
                </w:p>
              </w:tc>
              <w:tc>
                <w:tcPr>
                  <w:tcW w:w="1183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15" w:hRule="atLeast"/>
                <w:jc w:val="center"/>
              </w:trPr>
              <w:tc>
                <w:tcPr>
                  <w:tcW w:w="2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28"/>
                      <w:szCs w:val="28"/>
                      <w:lang w:eastAsia="zh-CN"/>
                    </w:rPr>
                    <w:t>无</w:t>
                  </w:r>
                </w:p>
              </w:tc>
              <w:tc>
                <w:tcPr>
                  <w:tcW w:w="1392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</w:p>
              </w:tc>
              <w:tc>
                <w:tcPr>
                  <w:tcW w:w="1263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</w:p>
              </w:tc>
              <w:tc>
                <w:tcPr>
                  <w:tcW w:w="172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183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2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eastAsia="zh-CN"/>
              </w:rPr>
              <w:t>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、报价注意事项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34" w:leftChars="16" w:firstLine="565" w:firstLineChars="202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1.土方工程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highlight w:val="none"/>
                <w:u w:val="single"/>
              </w:rPr>
              <w:t>土方外运运距自行考虑，实际不同不再调整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34" w:leftChars="16" w:firstLine="565" w:firstLineChars="202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2.桩基工程：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34" w:leftChars="16" w:firstLine="565" w:firstLineChars="202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3.混凝土模板及支架：</w:t>
            </w:r>
            <w:r>
              <w:rPr>
                <w:rFonts w:hint="eastAsia" w:ascii="宋体" w:hAnsi="宋体"/>
                <w:bCs/>
                <w:sz w:val="28"/>
                <w:szCs w:val="28"/>
                <w:u w:val="single"/>
                <w:lang w:eastAsia="zh-CN"/>
              </w:rPr>
              <w:t>基础模板、基础梁模板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34" w:leftChars="16" w:firstLine="565" w:firstLineChars="202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4.脚手架：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34" w:leftChars="16" w:firstLine="565" w:firstLineChars="202"/>
              <w:textAlignment w:val="auto"/>
              <w:rPr>
                <w:rFonts w:hint="eastAsia" w:ascii="宋体" w:hAnsi="宋体" w:eastAsia="宋体" w:cs="宋体"/>
                <w:bCs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5.施工排水、降水：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34" w:leftChars="16" w:firstLine="565" w:firstLineChars="202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6.垂直运输：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34" w:leftChars="16" w:firstLine="565" w:firstLineChars="202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7.大型机械设备进出场及安拆费：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u w:val="single"/>
              </w:rPr>
              <w:t>实际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u w:val="single"/>
                <w:lang w:val="en-US" w:eastAsia="zh-CN"/>
              </w:rPr>
              <w:t>进出场台数及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u w:val="single"/>
              </w:rPr>
              <w:t>类型不同的不再调整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；大型机械设备基础：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34" w:leftChars="16" w:firstLine="565" w:firstLineChars="202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</w:rPr>
              <w:t>8.基坑支护工程拆除：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34" w:leftChars="16" w:firstLine="565" w:firstLineChars="202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9.材料二次搬运：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34" w:leftChars="16" w:firstLine="565" w:firstLineChars="202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10.需要二次深化设计的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left="34" w:leftChars="16" w:firstLine="565" w:firstLineChars="202"/>
              <w:textAlignment w:val="auto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11.其他：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2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六、本项目补充的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工程量清单</w:t>
            </w:r>
          </w:p>
          <w:tbl>
            <w:tblPr>
              <w:tblStyle w:val="5"/>
              <w:tblW w:w="0" w:type="auto"/>
              <w:tblInd w:w="17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6"/>
              <w:gridCol w:w="2198"/>
              <w:gridCol w:w="1466"/>
              <w:gridCol w:w="1024"/>
              <w:gridCol w:w="1933"/>
              <w:gridCol w:w="78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52" w:hRule="atLeast"/>
              </w:trPr>
              <w:tc>
                <w:tcPr>
                  <w:tcW w:w="1276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项目编码</w:t>
                  </w:r>
                </w:p>
              </w:tc>
              <w:tc>
                <w:tcPr>
                  <w:tcW w:w="219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项目名称</w:t>
                  </w:r>
                </w:p>
              </w:tc>
              <w:tc>
                <w:tcPr>
                  <w:tcW w:w="1466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1024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计量单位</w:t>
                  </w:r>
                </w:p>
              </w:tc>
              <w:tc>
                <w:tcPr>
                  <w:tcW w:w="1933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工程量计算规则</w:t>
                  </w:r>
                </w:p>
              </w:tc>
              <w:tc>
                <w:tcPr>
                  <w:tcW w:w="780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工程内容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1" w:hRule="atLeast"/>
              </w:trPr>
              <w:tc>
                <w:tcPr>
                  <w:tcW w:w="1276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bCs/>
                      <w:sz w:val="28"/>
                      <w:szCs w:val="28"/>
                      <w:lang w:eastAsia="zh-CN"/>
                    </w:rPr>
                    <w:t>无</w:t>
                  </w:r>
                </w:p>
              </w:tc>
              <w:tc>
                <w:tcPr>
                  <w:tcW w:w="2198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66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024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933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80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1" w:hRule="atLeast"/>
              </w:trPr>
              <w:tc>
                <w:tcPr>
                  <w:tcW w:w="1276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98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66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024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933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80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580" w:lineRule="exact"/>
                    <w:textAlignment w:val="auto"/>
                    <w:rPr>
                      <w:rFonts w:hint="eastAsia" w:ascii="宋体" w:hAnsi="宋体" w:eastAsia="宋体" w:cs="宋体"/>
                      <w:bCs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2" w:firstLineChars="200"/>
              <w:textAlignment w:val="auto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  <w:t>七、其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他需要的说明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 w:eastAsia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1.</w:t>
            </w:r>
            <w:r>
              <w:rPr>
                <w:rFonts w:hint="eastAsia" w:ascii="宋体" w:hAnsi="宋体"/>
                <w:sz w:val="28"/>
                <w:szCs w:val="28"/>
                <w:highlight w:val="none"/>
                <w:lang w:eastAsia="zh-CN"/>
              </w:rPr>
              <w:t>根据</w:t>
            </w: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业主明确，余方弃置运距按30km</w:t>
            </w:r>
            <w:r>
              <w:rPr>
                <w:rFonts w:hint="eastAsia" w:ascii="宋体" w:hAnsi="宋体"/>
                <w:sz w:val="28"/>
                <w:szCs w:val="28"/>
                <w:highlight w:val="none"/>
                <w:lang w:eastAsia="zh-CN"/>
              </w:rPr>
              <w:t>考虑</w:t>
            </w: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计取</w:t>
            </w:r>
            <w:r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  <w:t>围墙金属网栏根据围墙意向图展示，本次审核暂按竖向圆钢筋直径Φ6，横向螺纹钢筋HRB335Φ12计取，结算按实调整；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3.拆除现状排水沟无详图，本次审核暂按新建石材排水沟1-1剖面图考虑计取，结算按实调整</w:t>
            </w:r>
            <w:r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水管引入段长度，按图</w:t>
            </w:r>
            <w:r>
              <w:rPr>
                <w:rFonts w:hint="eastAsia" w:ascii="宋体" w:hAnsi="宋体"/>
                <w:sz w:val="28"/>
                <w:szCs w:val="28"/>
                <w:highlight w:val="none"/>
                <w:lang w:eastAsia="zh-CN"/>
              </w:rPr>
              <w:t>号</w:t>
            </w:r>
            <w:r>
              <w:rPr>
                <w:rFonts w:hint="eastAsia" w:ascii="宋体" w:hAnsi="宋体"/>
                <w:sz w:val="28"/>
                <w:szCs w:val="28"/>
                <w:highlight w:val="none"/>
                <w:lang w:val="en-US" w:eastAsia="zh-CN"/>
              </w:rPr>
              <w:t>SS-02</w:t>
            </w:r>
            <w:r>
              <w:rPr>
                <w:rFonts w:hint="eastAsia" w:ascii="宋体" w:hAnsi="宋体"/>
                <w:sz w:val="28"/>
                <w:szCs w:val="28"/>
                <w:highlight w:val="none"/>
              </w:rPr>
              <w:t>计入</w:t>
            </w:r>
            <w:r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ind w:firstLine="560" w:firstLineChars="200"/>
              <w:textAlignment w:val="auto"/>
              <w:rPr>
                <w:rFonts w:hint="default" w:ascii="宋体" w:hAnsi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5.根据业主明确，暂列金按15000元考虑。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80" w:lineRule="exact"/>
              <w:textAlignment w:val="auto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</w:tr>
    </w:tbl>
    <w:p>
      <w:pPr>
        <w:rPr>
          <w:rFonts w:ascii="宋体" w:hAnsi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5000"/>
    <w:rsid w:val="00037FC8"/>
    <w:rsid w:val="000D60AC"/>
    <w:rsid w:val="000E7180"/>
    <w:rsid w:val="000F77C9"/>
    <w:rsid w:val="00112270"/>
    <w:rsid w:val="0013465D"/>
    <w:rsid w:val="00245547"/>
    <w:rsid w:val="00313B04"/>
    <w:rsid w:val="00320D64"/>
    <w:rsid w:val="003F2E4D"/>
    <w:rsid w:val="003F58F3"/>
    <w:rsid w:val="00496B85"/>
    <w:rsid w:val="00532B7D"/>
    <w:rsid w:val="00624AB5"/>
    <w:rsid w:val="00652485"/>
    <w:rsid w:val="00660389"/>
    <w:rsid w:val="00695228"/>
    <w:rsid w:val="00784AC8"/>
    <w:rsid w:val="009857DD"/>
    <w:rsid w:val="009B30E3"/>
    <w:rsid w:val="009D7270"/>
    <w:rsid w:val="00A32B9D"/>
    <w:rsid w:val="00A6268B"/>
    <w:rsid w:val="00B23104"/>
    <w:rsid w:val="00B23699"/>
    <w:rsid w:val="00B2385D"/>
    <w:rsid w:val="00B31812"/>
    <w:rsid w:val="00B92FFE"/>
    <w:rsid w:val="00B97ED0"/>
    <w:rsid w:val="00BD4CC3"/>
    <w:rsid w:val="00C3423C"/>
    <w:rsid w:val="00C429AC"/>
    <w:rsid w:val="00C50436"/>
    <w:rsid w:val="00C769FD"/>
    <w:rsid w:val="00E02408"/>
    <w:rsid w:val="00E05993"/>
    <w:rsid w:val="00E859E3"/>
    <w:rsid w:val="00EA24A1"/>
    <w:rsid w:val="00ED7C9B"/>
    <w:rsid w:val="00F81B9E"/>
    <w:rsid w:val="00F83297"/>
    <w:rsid w:val="01832E4F"/>
    <w:rsid w:val="04157975"/>
    <w:rsid w:val="051160FF"/>
    <w:rsid w:val="0B641F04"/>
    <w:rsid w:val="0C783C7A"/>
    <w:rsid w:val="0CC869B5"/>
    <w:rsid w:val="134B5ABF"/>
    <w:rsid w:val="15294596"/>
    <w:rsid w:val="190B4AFB"/>
    <w:rsid w:val="197E684F"/>
    <w:rsid w:val="215D7B84"/>
    <w:rsid w:val="23E7703D"/>
    <w:rsid w:val="2CFD1681"/>
    <w:rsid w:val="2DA100E2"/>
    <w:rsid w:val="2DD22560"/>
    <w:rsid w:val="2EB92CDF"/>
    <w:rsid w:val="31CC4290"/>
    <w:rsid w:val="3250732B"/>
    <w:rsid w:val="32EC6ADC"/>
    <w:rsid w:val="338C024F"/>
    <w:rsid w:val="355205AA"/>
    <w:rsid w:val="369A4D92"/>
    <w:rsid w:val="371619EC"/>
    <w:rsid w:val="38D165E1"/>
    <w:rsid w:val="39221629"/>
    <w:rsid w:val="3A990793"/>
    <w:rsid w:val="3BD16BF1"/>
    <w:rsid w:val="3E1B1CD6"/>
    <w:rsid w:val="42CC64C9"/>
    <w:rsid w:val="443E5EDD"/>
    <w:rsid w:val="449606E3"/>
    <w:rsid w:val="47427E42"/>
    <w:rsid w:val="474475E5"/>
    <w:rsid w:val="48530096"/>
    <w:rsid w:val="4FBD3D51"/>
    <w:rsid w:val="52457D72"/>
    <w:rsid w:val="529C6264"/>
    <w:rsid w:val="52BA5FF2"/>
    <w:rsid w:val="558A4557"/>
    <w:rsid w:val="559B4E5B"/>
    <w:rsid w:val="57326B4E"/>
    <w:rsid w:val="598633BB"/>
    <w:rsid w:val="5CCB1454"/>
    <w:rsid w:val="5DC95EB8"/>
    <w:rsid w:val="5E5C1171"/>
    <w:rsid w:val="5E8C39DC"/>
    <w:rsid w:val="5E9205B7"/>
    <w:rsid w:val="5F091D56"/>
    <w:rsid w:val="5FF0129D"/>
    <w:rsid w:val="60F23CEA"/>
    <w:rsid w:val="634A78EF"/>
    <w:rsid w:val="69DD4238"/>
    <w:rsid w:val="6C240D98"/>
    <w:rsid w:val="70544AC4"/>
    <w:rsid w:val="726265C0"/>
    <w:rsid w:val="73665F6D"/>
    <w:rsid w:val="745B0129"/>
    <w:rsid w:val="75FB6F46"/>
    <w:rsid w:val="765334BF"/>
    <w:rsid w:val="77E81E4B"/>
    <w:rsid w:val="786E353C"/>
    <w:rsid w:val="7A6A3746"/>
    <w:rsid w:val="7C2B21E1"/>
    <w:rsid w:val="7D6F23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color w:val="auto"/>
      <w:kern w:val="36"/>
      <w:sz w:val="48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默认"/>
    <w:qFormat/>
    <w:uiPriority w:val="0"/>
    <w:rPr>
      <w:rFonts w:ascii="Helvetica Neue" w:hAnsi="Helvetica Neue" w:eastAsia="Arial Unicode MS" w:cs="Arial Unicode MS"/>
      <w:color w:val="000000"/>
      <w:sz w:val="22"/>
      <w:szCs w:val="22"/>
      <w:lang w:val="zh-CN" w:eastAsia="zh-CN" w:bidi="ar-SA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color w:val="auto"/>
      <w:kern w:val="2"/>
      <w:szCs w:val="22"/>
    </w:rPr>
  </w:style>
  <w:style w:type="paragraph" w:customStyle="1" w:styleId="9">
    <w:name w:val="Normal"/>
    <w:qFormat/>
    <w:uiPriority w:val="0"/>
    <w:pPr>
      <w:jc w:val="both"/>
    </w:pPr>
    <w:rPr>
      <w:rFonts w:ascii="Times New Roman" w:hAnsi="Times New Roman" w:eastAsia="宋体" w:cs="宋体"/>
      <w:kern w:val="2"/>
      <w:sz w:val="21"/>
      <w:szCs w:val="21"/>
      <w:lang w:val="en-US" w:eastAsia="zh-CN" w:bidi="ar-SA"/>
    </w:rPr>
  </w:style>
  <w:style w:type="character" w:customStyle="1" w:styleId="10">
    <w:name w:val="标题 1 Char"/>
    <w:basedOn w:val="6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1">
    <w:name w:val="页脚 Char"/>
    <w:basedOn w:val="6"/>
    <w:link w:val="3"/>
    <w:qFormat/>
    <w:uiPriority w:val="0"/>
    <w:rPr>
      <w:color w:val="000000"/>
      <w:sz w:val="18"/>
      <w:szCs w:val="18"/>
    </w:rPr>
  </w:style>
  <w:style w:type="character" w:customStyle="1" w:styleId="12">
    <w:name w:val="页眉 Char"/>
    <w:basedOn w:val="6"/>
    <w:link w:val="4"/>
    <w:qFormat/>
    <w:uiPriority w:val="0"/>
    <w:rPr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757</Words>
  <Characters>4317</Characters>
  <Lines>35</Lines>
  <Paragraphs>10</Paragraphs>
  <TotalTime>1</TotalTime>
  <ScaleCrop>false</ScaleCrop>
  <LinksUpToDate>false</LinksUpToDate>
  <CharactersWithSpaces>5064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2017-09-06T12:07:00Z</dcterms:created>
  <dc:creator>Administrator</dc:creator>
  <cp:lastModifiedBy>Administrator</cp:lastModifiedBy>
  <dcterms:modified xsi:type="dcterms:W3CDTF">2020-11-12T01:31:04Z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