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E1" w:rsidRDefault="00E209E1" w:rsidP="00E209E1">
      <w:pPr>
        <w:spacing w:line="360" w:lineRule="auto"/>
        <w:jc w:val="center"/>
        <w:rPr>
          <w:rFonts w:ascii="宋体" w:hAnsi="宋体" w:cs="Arial"/>
          <w:color w:val="000000"/>
          <w:sz w:val="36"/>
          <w:szCs w:val="36"/>
        </w:rPr>
      </w:pPr>
      <w:r>
        <w:rPr>
          <w:rFonts w:ascii="宋体" w:hAnsi="宋体" w:cs="Arial" w:hint="eastAsia"/>
          <w:b/>
          <w:color w:val="000000"/>
          <w:spacing w:val="20"/>
          <w:sz w:val="36"/>
          <w:szCs w:val="36"/>
        </w:rPr>
        <w:t>竞价一览表</w:t>
      </w:r>
    </w:p>
    <w:p w:rsidR="00E209E1" w:rsidRDefault="00E209E1" w:rsidP="00E209E1">
      <w:pPr>
        <w:spacing w:line="50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                    货币单位：人民币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612"/>
        <w:gridCol w:w="2269"/>
        <w:gridCol w:w="720"/>
        <w:gridCol w:w="900"/>
        <w:gridCol w:w="2160"/>
        <w:gridCol w:w="704"/>
        <w:gridCol w:w="916"/>
        <w:gridCol w:w="1080"/>
      </w:tblGrid>
      <w:tr w:rsidR="00E209E1" w:rsidTr="00E209E1">
        <w:trPr>
          <w:cantSplit/>
          <w:trHeight w:val="10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合同包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品目号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货物名称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品牌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产地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型号/规格/技术指标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单价(元)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总价(元)</w:t>
            </w:r>
          </w:p>
        </w:tc>
      </w:tr>
      <w:tr w:rsidR="00E209E1" w:rsidTr="00E209E1">
        <w:trPr>
          <w:cantSplit/>
          <w:trHeight w:val="6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第三方评价平台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学术桥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北京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参考附件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237500</w:t>
            </w:r>
          </w:p>
        </w:tc>
      </w:tr>
      <w:tr w:rsidR="00E209E1" w:rsidTr="00E209E1">
        <w:trPr>
          <w:cantSplit/>
          <w:trHeight w:val="6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09E1" w:rsidTr="00E209E1">
        <w:trPr>
          <w:cantSplit/>
          <w:trHeight w:val="6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09E1" w:rsidTr="00E209E1">
        <w:trPr>
          <w:cantSplit/>
          <w:trHeight w:val="6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09E1" w:rsidTr="00E209E1">
        <w:trPr>
          <w:cantSplit/>
          <w:trHeight w:val="6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09E1" w:rsidTr="00E209E1">
        <w:trPr>
          <w:cantSplit/>
          <w:trHeight w:val="6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09E1" w:rsidTr="00E209E1">
        <w:trPr>
          <w:cantSplit/>
          <w:trHeight w:val="607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竞价总价（大写）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343434"/>
                <w:sz w:val="24"/>
                <w:shd w:val="clear" w:color="auto" w:fill="FFFFFF"/>
              </w:rPr>
              <w:t>人民币</w:t>
            </w:r>
            <w:proofErr w:type="gramStart"/>
            <w:r>
              <w:rPr>
                <w:rFonts w:ascii="宋体" w:eastAsia="宋体" w:hAnsi="宋体" w:cs="宋体" w:hint="eastAsia"/>
                <w:color w:val="343434"/>
                <w:sz w:val="24"/>
                <w:shd w:val="clear" w:color="auto" w:fill="FFFFFF"/>
              </w:rPr>
              <w:t>贰拾柒万柒佰伍拾</w:t>
            </w:r>
            <w:proofErr w:type="gramEnd"/>
            <w:r>
              <w:rPr>
                <w:rFonts w:ascii="宋体" w:eastAsia="宋体" w:hAnsi="宋体" w:cs="宋体" w:hint="eastAsia"/>
                <w:color w:val="343434"/>
                <w:sz w:val="24"/>
                <w:shd w:val="clear" w:color="auto" w:fill="FFFFFF"/>
              </w:rPr>
              <w:t>元整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小写：¥270750.00</w:t>
            </w:r>
          </w:p>
        </w:tc>
      </w:tr>
    </w:tbl>
    <w:p w:rsidR="00E209E1" w:rsidRDefault="00E209E1" w:rsidP="00E209E1">
      <w:pPr>
        <w:tabs>
          <w:tab w:val="left" w:pos="13000"/>
        </w:tabs>
        <w:spacing w:line="500" w:lineRule="exact"/>
        <w:rPr>
          <w:rFonts w:ascii="宋体" w:hAnsi="宋体" w:hint="eastAsia"/>
          <w:color w:val="000000"/>
          <w:sz w:val="24"/>
        </w:rPr>
      </w:pPr>
    </w:p>
    <w:p w:rsidR="00E209E1" w:rsidRDefault="00E209E1" w:rsidP="00E209E1">
      <w:pPr>
        <w:rPr>
          <w:rFonts w:ascii="宋体" w:hAnsi="宋体" w:hint="eastAsia"/>
          <w:b/>
          <w:color w:val="000000"/>
          <w:sz w:val="36"/>
          <w:szCs w:val="36"/>
        </w:rPr>
      </w:pPr>
      <w:bookmarkStart w:id="0" w:name="_GoBack"/>
      <w:bookmarkEnd w:id="0"/>
    </w:p>
    <w:p w:rsidR="00E209E1" w:rsidRDefault="00E209E1" w:rsidP="00E209E1">
      <w:pPr>
        <w:spacing w:line="360" w:lineRule="auto"/>
        <w:ind w:leftChars="-342" w:left="-718" w:rightChars="-416" w:right="-874" w:firstLineChars="170" w:firstLine="357"/>
        <w:rPr>
          <w:rFonts w:ascii="宋体" w:hAnsi="宋体" w:cs="Arial" w:hint="eastAsia"/>
          <w:color w:val="000000"/>
          <w:szCs w:val="21"/>
        </w:rPr>
      </w:pPr>
    </w:p>
    <w:p w:rsidR="00E209E1" w:rsidRDefault="00E209E1" w:rsidP="00E209E1">
      <w:pPr>
        <w:tabs>
          <w:tab w:val="left" w:pos="5355"/>
        </w:tabs>
        <w:wordWrap w:val="0"/>
        <w:spacing w:line="500" w:lineRule="exact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br w:type="page"/>
      </w:r>
      <w:r>
        <w:rPr>
          <w:rFonts w:ascii="宋体" w:hAnsi="宋体" w:hint="eastAsia"/>
          <w:color w:val="000000"/>
          <w:szCs w:val="21"/>
        </w:rPr>
        <w:lastRenderedPageBreak/>
        <w:t>附件2</w:t>
      </w:r>
    </w:p>
    <w:p w:rsidR="00E209E1" w:rsidRDefault="00E209E1" w:rsidP="00E209E1">
      <w:pPr>
        <w:spacing w:line="500" w:lineRule="exact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b/>
          <w:color w:val="000000"/>
          <w:sz w:val="36"/>
        </w:rPr>
        <w:t>货物说明一览表</w:t>
      </w:r>
    </w:p>
    <w:p w:rsidR="00E209E1" w:rsidRDefault="00E209E1" w:rsidP="00E209E1">
      <w:pPr>
        <w:spacing w:line="500" w:lineRule="exact"/>
        <w:jc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hint="eastAsia"/>
          <w:color w:val="000000"/>
          <w:sz w:val="24"/>
        </w:rPr>
        <w:t>（按竞价货物合同包下品目号类别分别填写）</w:t>
      </w:r>
    </w:p>
    <w:p w:rsidR="00E209E1" w:rsidRDefault="00E209E1" w:rsidP="00E209E1">
      <w:pPr>
        <w:spacing w:line="500" w:lineRule="exact"/>
        <w:rPr>
          <w:rFonts w:ascii="宋体" w:hAnsi="宋体" w:hint="eastAsia"/>
          <w:color w:val="000000"/>
          <w:sz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229"/>
        <w:gridCol w:w="1228"/>
        <w:gridCol w:w="1229"/>
        <w:gridCol w:w="1228"/>
        <w:gridCol w:w="1229"/>
        <w:gridCol w:w="1228"/>
        <w:gridCol w:w="1121"/>
      </w:tblGrid>
      <w:tr w:rsidR="00E209E1" w:rsidTr="00E209E1">
        <w:trPr>
          <w:trHeight w:val="78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合同包号</w:t>
            </w:r>
            <w:proofErr w:type="gram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包1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货物名称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第三方评价平台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型号规格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参考附件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1" w:rsidRDefault="00E209E1">
            <w:pPr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950</w:t>
            </w:r>
          </w:p>
        </w:tc>
      </w:tr>
      <w:tr w:rsidR="00E209E1" w:rsidTr="00E209E1">
        <w:trPr>
          <w:cantSplit/>
          <w:trHeight w:val="5262"/>
        </w:trPr>
        <w:tc>
          <w:tcPr>
            <w:tcW w:w="9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E1" w:rsidRDefault="00E209E1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bidi="zh-TW"/>
              </w:rPr>
              <w:t>一、供应商应根据学校的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eastAsia="zh-TW" w:bidi="zh-TW"/>
              </w:rPr>
              <w:t>要求，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bidi="zh-TW"/>
              </w:rPr>
              <w:t>通过专家库和平台系统，为学校人才评价工作提供同行专家通讯评审意见，自接收材料起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bidi="zh-TW"/>
              </w:rPr>
              <w:t>在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bidi="zh-TW"/>
              </w:rPr>
              <w:t>15天内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eastAsia="zh-TW" w:bidi="zh-TW"/>
              </w:rPr>
              <w:t>按时返回评审结果。</w:t>
            </w:r>
          </w:p>
          <w:p w:rsidR="00E209E1" w:rsidRDefault="00E209E1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bidi="zh-TW"/>
              </w:rPr>
              <w:t>二、供应商应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eastAsia="zh-TW" w:bidi="zh-TW"/>
              </w:rPr>
              <w:t>严格遵守保密原则，不得向除专家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bidi="zh-TW"/>
              </w:rPr>
              <w:t>以外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eastAsia="zh-TW" w:bidi="zh-TW"/>
              </w:rPr>
              <w:t>的第三方提供学校所提交的所有信息，也不得向第三方提供专家名单和评审结果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bidi="zh-TW"/>
              </w:rPr>
              <w:t>。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bidi="zh-TW"/>
              </w:rPr>
              <w:t>供应商要确保评审过程和内容严格保密，并配合对评审过程和内容进行核查。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bidi="zh-TW"/>
              </w:rPr>
              <w:t>同时应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eastAsia="zh-TW" w:bidi="zh-TW"/>
              </w:rPr>
              <w:t>加强网络监控，确保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bidi="zh-TW"/>
              </w:rPr>
              <w:t>我校相关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eastAsia="zh-TW" w:bidi="zh-TW"/>
              </w:rPr>
              <w:t>信息安全。</w:t>
            </w:r>
          </w:p>
          <w:p w:rsidR="00E209E1" w:rsidRDefault="00E209E1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bidi="zh-TW"/>
              </w:rPr>
              <w:t>三、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eastAsia="zh-TW" w:bidi="zh-TW"/>
              </w:rPr>
              <w:t>供应商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bidi="zh-TW"/>
              </w:rPr>
              <w:t>需在国内合作各类评审本科高校不少于100所。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bidi="zh-TW"/>
              </w:rPr>
              <w:t>供应商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eastAsia="zh-TW" w:bidi="zh-TW"/>
              </w:rPr>
              <w:t>可提供7x24小时的在线技术支持与服务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bidi="zh-TW"/>
              </w:rPr>
              <w:t>。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eastAsia="zh-TW" w:bidi="zh-TW"/>
              </w:rPr>
              <w:t>如在使用过程中因软件自身问题导致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bidi="zh-TW"/>
              </w:rPr>
              <w:t>学校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eastAsia="zh-TW" w:bidi="zh-TW"/>
              </w:rPr>
              <w:t>无法正常使用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bidi="zh-TW"/>
              </w:rPr>
              <w:t>的，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eastAsia="zh-TW" w:bidi="zh-TW"/>
              </w:rPr>
              <w:t>应在2小时之内给予响应，12小时之内给出解决方案。</w:t>
            </w:r>
          </w:p>
          <w:p w:rsidR="00E209E1" w:rsidRDefault="00E209E1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bidi="zh-TW"/>
              </w:rPr>
              <w:t>四、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val="zh-TW" w:eastAsia="zh-TW" w:bidi="zh-TW"/>
              </w:rPr>
              <w:t>供应商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bidi="zh-TW"/>
              </w:rPr>
              <w:t>应具有丰富的专家资源，能根据人才评价工作需要，实现二级学科及研究方向严格匹配，专家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bidi="zh-TW"/>
              </w:rPr>
              <w:t>库专家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bidi="zh-TW"/>
              </w:rPr>
              <w:t>不少于 9万名，其中拥有高级职称专家需占比80%以上，各类国家级专家达2万人以上，并且能根据学校要求指定相应层次级别的专家进行评价。</w:t>
            </w:r>
          </w:p>
          <w:p w:rsidR="00E209E1" w:rsidRDefault="00E209E1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bidi="zh-TW"/>
              </w:rPr>
              <w:t>五、供应商需采用更安全的HTTPS协议</w:t>
            </w:r>
            <w:bookmarkStart w:id="1" w:name="bookmark10"/>
            <w:bookmarkEnd w:id="1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bidi="zh-TW"/>
              </w:rPr>
              <w:t>。可提供评价系统全套使用，并保留相关过程数据至少24个月。</w:t>
            </w:r>
          </w:p>
          <w:p w:rsidR="00E209E1" w:rsidRDefault="00E209E1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bidi="zh-TW"/>
              </w:rPr>
            </w:pPr>
            <w:bookmarkStart w:id="2" w:name="bookmark11"/>
            <w:bookmarkEnd w:id="2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bidi="zh-TW"/>
              </w:rPr>
              <w:t>六、人才评价材料据实结算，供应商应确保给学校的专家信息属实，如事后被证明专家信息有误或不符合学校要求，供应商应退回因此人而收取的服务费，并以服务费的10倍金额赔偿学校损失。</w:t>
            </w:r>
          </w:p>
          <w:p w:rsidR="00E209E1" w:rsidRDefault="00E209E1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D2D0B" w:rsidRPr="00E209E1" w:rsidRDefault="00E209E1"/>
    <w:sectPr w:rsidR="005D2D0B" w:rsidRPr="00E20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DC"/>
    <w:rsid w:val="001731DC"/>
    <w:rsid w:val="00496619"/>
    <w:rsid w:val="00575C51"/>
    <w:rsid w:val="00E2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E1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E1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2020-12-28T07:23:00Z</dcterms:created>
  <dcterms:modified xsi:type="dcterms:W3CDTF">2020-12-28T07:23:00Z</dcterms:modified>
</cp:coreProperties>
</file>