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sz w:val="28"/>
          <w:lang w:val="en-US" w:eastAsia="zh-CN"/>
        </w:rPr>
      </w:pPr>
      <w:r>
        <w:rPr>
          <w:rFonts w:hint="eastAsia" w:ascii="宋体" w:hAnsi="宋体" w:cs="宋体"/>
          <w:b/>
          <w:sz w:val="28"/>
          <w:lang w:val="en-US" w:eastAsia="zh-CN"/>
        </w:rPr>
        <w:t>聚合支付系统</w:t>
      </w:r>
    </w:p>
    <w:p>
      <w:pPr>
        <w:rPr>
          <w:rFonts w:hint="default" w:ascii="宋体" w:hAnsi="宋体" w:cs="宋体"/>
          <w:b/>
          <w:sz w:val="28"/>
          <w:lang w:val="en-US" w:eastAsia="zh-CN"/>
        </w:rPr>
      </w:pPr>
    </w:p>
    <w:tbl>
      <w:tblPr>
        <w:tblStyle w:val="8"/>
        <w:tblW w:w="0" w:type="auto"/>
        <w:tblInd w:w="0" w:type="dxa"/>
        <w:tblLayout w:type="autofit"/>
        <w:tblCellMar>
          <w:top w:w="0" w:type="dxa"/>
          <w:left w:w="0" w:type="dxa"/>
          <w:bottom w:w="0" w:type="dxa"/>
          <w:right w:w="0" w:type="dxa"/>
        </w:tblCellMar>
      </w:tblPr>
      <w:tblGrid>
        <w:gridCol w:w="583"/>
        <w:gridCol w:w="645"/>
        <w:gridCol w:w="1245"/>
        <w:gridCol w:w="1140"/>
        <w:gridCol w:w="4110"/>
        <w:gridCol w:w="613"/>
      </w:tblGrid>
      <w:tr>
        <w:tblPrEx>
          <w:tblCellMar>
            <w:top w:w="0" w:type="dxa"/>
            <w:left w:w="0" w:type="dxa"/>
            <w:bottom w:w="0" w:type="dxa"/>
            <w:right w:w="0" w:type="dxa"/>
          </w:tblCellMar>
        </w:tblPrEx>
        <w:trPr>
          <w:trHeight w:val="400" w:hRule="atLeast"/>
        </w:trPr>
        <w:tc>
          <w:tcPr>
            <w:tcW w:w="58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right w:w="15" w:type="dxa"/>
            </w:tcMar>
            <w:vAlign w:val="center"/>
          </w:tcPr>
          <w:p>
            <w:pPr>
              <w:widowControl/>
              <w:jc w:val="center"/>
              <w:textAlignment w:val="center"/>
              <w:rPr>
                <w:rFonts w:ascii="宋体" w:hAnsi="宋体" w:cs="宋体"/>
                <w:b/>
                <w:color w:val="auto"/>
                <w:sz w:val="22"/>
              </w:rPr>
            </w:pPr>
            <w:r>
              <w:rPr>
                <w:rFonts w:hint="eastAsia" w:ascii="宋体" w:hAnsi="宋体" w:cs="宋体"/>
                <w:b/>
                <w:color w:val="auto"/>
                <w:sz w:val="22"/>
                <w:lang w:bidi="ar"/>
              </w:rPr>
              <w:t>模块</w:t>
            </w:r>
          </w:p>
        </w:tc>
        <w:tc>
          <w:tcPr>
            <w:tcW w:w="645" w:type="dxa"/>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right w:w="15" w:type="dxa"/>
            </w:tcMar>
            <w:vAlign w:val="center"/>
          </w:tcPr>
          <w:p>
            <w:pPr>
              <w:widowControl/>
              <w:jc w:val="center"/>
              <w:textAlignment w:val="center"/>
              <w:rPr>
                <w:rFonts w:ascii="宋体" w:hAnsi="宋体" w:cs="宋体"/>
                <w:b/>
                <w:color w:val="auto"/>
                <w:sz w:val="22"/>
              </w:rPr>
            </w:pPr>
            <w:r>
              <w:rPr>
                <w:rFonts w:hint="eastAsia" w:ascii="宋体" w:hAnsi="宋体" w:cs="宋体"/>
                <w:b/>
                <w:color w:val="auto"/>
                <w:sz w:val="22"/>
                <w:lang w:bidi="ar"/>
              </w:rPr>
              <w:t>一级功能</w:t>
            </w:r>
          </w:p>
        </w:tc>
        <w:tc>
          <w:tcPr>
            <w:tcW w:w="1245" w:type="dxa"/>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right w:w="15" w:type="dxa"/>
            </w:tcMar>
            <w:vAlign w:val="center"/>
          </w:tcPr>
          <w:p>
            <w:pPr>
              <w:widowControl/>
              <w:jc w:val="center"/>
              <w:textAlignment w:val="center"/>
              <w:rPr>
                <w:rFonts w:ascii="宋体" w:hAnsi="宋体" w:cs="宋体"/>
                <w:b/>
                <w:color w:val="auto"/>
                <w:sz w:val="22"/>
              </w:rPr>
            </w:pPr>
            <w:r>
              <w:rPr>
                <w:rFonts w:hint="eastAsia" w:ascii="宋体" w:hAnsi="宋体" w:cs="宋体"/>
                <w:b/>
                <w:color w:val="auto"/>
                <w:sz w:val="22"/>
                <w:lang w:bidi="ar"/>
              </w:rPr>
              <w:t>二级功能</w:t>
            </w:r>
          </w:p>
        </w:tc>
        <w:tc>
          <w:tcPr>
            <w:tcW w:w="1140" w:type="dxa"/>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right w:w="15" w:type="dxa"/>
            </w:tcMar>
            <w:vAlign w:val="center"/>
          </w:tcPr>
          <w:p>
            <w:pPr>
              <w:widowControl/>
              <w:jc w:val="center"/>
              <w:textAlignment w:val="center"/>
              <w:rPr>
                <w:rFonts w:ascii="宋体" w:hAnsi="宋体" w:cs="宋体"/>
                <w:b/>
                <w:color w:val="auto"/>
                <w:sz w:val="22"/>
              </w:rPr>
            </w:pPr>
            <w:r>
              <w:rPr>
                <w:rFonts w:hint="eastAsia" w:ascii="宋体" w:hAnsi="宋体" w:cs="宋体"/>
                <w:b/>
                <w:color w:val="auto"/>
                <w:sz w:val="22"/>
                <w:lang w:bidi="ar"/>
              </w:rPr>
              <w:t>三级功能</w:t>
            </w:r>
          </w:p>
        </w:tc>
        <w:tc>
          <w:tcPr>
            <w:tcW w:w="4110" w:type="dxa"/>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right w:w="15" w:type="dxa"/>
            </w:tcMar>
            <w:vAlign w:val="center"/>
          </w:tcPr>
          <w:p>
            <w:pPr>
              <w:widowControl/>
              <w:jc w:val="center"/>
              <w:textAlignment w:val="center"/>
              <w:rPr>
                <w:rFonts w:ascii="宋体" w:hAnsi="宋体" w:cs="宋体"/>
                <w:b/>
                <w:color w:val="auto"/>
                <w:sz w:val="22"/>
              </w:rPr>
            </w:pPr>
            <w:r>
              <w:rPr>
                <w:rFonts w:hint="eastAsia" w:ascii="宋体" w:hAnsi="宋体" w:cs="宋体"/>
                <w:b/>
                <w:color w:val="auto"/>
                <w:sz w:val="22"/>
                <w:lang w:bidi="ar"/>
              </w:rPr>
              <w:t>功能描述</w:t>
            </w:r>
          </w:p>
        </w:tc>
        <w:tc>
          <w:tcPr>
            <w:tcW w:w="61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right w:w="15" w:type="dxa"/>
            </w:tcMar>
            <w:vAlign w:val="center"/>
          </w:tcPr>
          <w:p>
            <w:pPr>
              <w:widowControl/>
              <w:jc w:val="center"/>
              <w:textAlignment w:val="center"/>
              <w:rPr>
                <w:rFonts w:ascii="宋体" w:hAnsi="宋体" w:cs="宋体"/>
                <w:b/>
                <w:color w:val="auto"/>
                <w:sz w:val="22"/>
              </w:rPr>
            </w:pPr>
            <w:r>
              <w:rPr>
                <w:rFonts w:hint="eastAsia" w:ascii="宋体" w:hAnsi="宋体" w:cs="宋体"/>
                <w:b/>
                <w:color w:val="auto"/>
                <w:sz w:val="22"/>
                <w:lang w:bidi="ar"/>
              </w:rPr>
              <w:t>备注</w:t>
            </w:r>
          </w:p>
        </w:tc>
      </w:tr>
      <w:tr>
        <w:tblPrEx>
          <w:tblCellMar>
            <w:top w:w="0" w:type="dxa"/>
            <w:left w:w="0" w:type="dxa"/>
            <w:bottom w:w="0" w:type="dxa"/>
            <w:right w:w="0" w:type="dxa"/>
          </w:tblCellMar>
        </w:tblPrEx>
        <w:trPr>
          <w:trHeight w:val="270" w:hRule="atLeast"/>
        </w:trPr>
        <w:tc>
          <w:tcPr>
            <w:tcW w:w="583"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sz w:val="22"/>
                <w:lang w:bidi="ar"/>
              </w:rPr>
              <w:t>聚合支付系统</w:t>
            </w:r>
          </w:p>
        </w:tc>
        <w:tc>
          <w:tcPr>
            <w:tcW w:w="645" w:type="dxa"/>
            <w:vMerge w:val="restart"/>
            <w:tcBorders>
              <w:top w:val="single" w:color="auto" w:sz="4" w:space="0"/>
              <w:left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sz w:val="22"/>
                <w:lang w:bidi="ar"/>
              </w:rPr>
              <w:t>用户管理</w:t>
            </w:r>
          </w:p>
        </w:tc>
        <w:tc>
          <w:tcPr>
            <w:tcW w:w="1245"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sz w:val="22"/>
                <w:lang w:bidi="ar"/>
              </w:rPr>
              <w:t>员工管理</w:t>
            </w:r>
          </w:p>
        </w:tc>
        <w:tc>
          <w:tcPr>
            <w:tcW w:w="114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auto"/>
                <w:sz w:val="22"/>
              </w:rPr>
            </w:pPr>
            <w:r>
              <w:rPr>
                <w:rFonts w:hint="eastAsia" w:ascii="宋体" w:hAnsi="宋体" w:cs="宋体"/>
                <w:color w:val="auto"/>
                <w:sz w:val="22"/>
                <w:lang w:bidi="ar"/>
              </w:rPr>
              <w:t>基本信息</w:t>
            </w:r>
          </w:p>
        </w:tc>
        <w:tc>
          <w:tcPr>
            <w:tcW w:w="411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sz w:val="22"/>
                <w:lang w:bidi="ar"/>
              </w:rPr>
              <w:t>实现对员工账号的管理</w:t>
            </w:r>
            <w:r>
              <w:rPr>
                <w:rFonts w:hint="eastAsia" w:ascii="宋体" w:hAnsi="宋体" w:cs="宋体"/>
                <w:color w:val="auto"/>
                <w:sz w:val="22"/>
                <w:lang w:bidi="ar"/>
              </w:rPr>
              <w:br w:type="textWrapping"/>
            </w:r>
            <w:r>
              <w:rPr>
                <w:rFonts w:hint="eastAsia" w:ascii="宋体" w:hAnsi="宋体" w:cs="宋体"/>
                <w:color w:val="auto"/>
                <w:sz w:val="22"/>
                <w:lang w:bidi="ar"/>
              </w:rPr>
              <w:t>员工基本信息：员工账号、密码、姓名、性别、身份证号码、手机、地址、所属渠道、启用状态、商户区域、备注；</w:t>
            </w:r>
          </w:p>
        </w:tc>
        <w:tc>
          <w:tcPr>
            <w:tcW w:w="61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70" w:hRule="atLeast"/>
        </w:trPr>
        <w:tc>
          <w:tcPr>
            <w:tcW w:w="5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645"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12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auto"/>
                <w:sz w:val="22"/>
              </w:rPr>
            </w:pPr>
            <w:r>
              <w:rPr>
                <w:rFonts w:hint="eastAsia" w:ascii="宋体" w:hAnsi="宋体" w:cs="宋体"/>
                <w:color w:val="auto"/>
                <w:sz w:val="22"/>
                <w:lang w:bidi="ar"/>
              </w:rPr>
              <w:t>分润方案设置</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sz w:val="22"/>
                <w:lang w:bidi="ar"/>
              </w:rPr>
              <w:t>分润计算方案（按分润方案计算、按成本费率计算）、各个支付通道的分润方案选择；</w:t>
            </w:r>
            <w:r>
              <w:rPr>
                <w:rFonts w:hint="eastAsia" w:ascii="宋体" w:hAnsi="宋体" w:cs="宋体"/>
                <w:color w:val="auto"/>
                <w:sz w:val="22"/>
                <w:lang w:bidi="ar"/>
              </w:rPr>
              <w:br w:type="textWrapping"/>
            </w:r>
            <w:r>
              <w:rPr>
                <w:rFonts w:hint="eastAsia" w:ascii="宋体" w:hAnsi="宋体" w:cs="宋体"/>
                <w:color w:val="auto"/>
                <w:sz w:val="22"/>
                <w:lang w:bidi="ar"/>
              </w:rPr>
              <w:t>结算信息：显示实时分润数据（累计分润总额、不可体现分润总额、可提现分润总额、累计已提现金额、还可提现金额）、提现周期（T0、T1、T7）、收款人银行卡相关信息（类型、卡号、姓名、手机号、身份证号码、开户银行支行联行号、开户银行总行名称、开户银行所在省市地址）</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70" w:hRule="atLeast"/>
        </w:trPr>
        <w:tc>
          <w:tcPr>
            <w:tcW w:w="5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645"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12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auto"/>
                <w:sz w:val="22"/>
              </w:rPr>
            </w:pPr>
            <w:r>
              <w:rPr>
                <w:rFonts w:hint="eastAsia" w:ascii="宋体" w:hAnsi="宋体" w:cs="宋体"/>
                <w:color w:val="auto"/>
                <w:sz w:val="22"/>
                <w:lang w:bidi="ar"/>
              </w:rPr>
              <w:t>费率设置</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sz w:val="22"/>
                <w:lang w:bidi="ar"/>
              </w:rPr>
              <w:t>可对员工对应的费率进行设置，根据实际接入支付通道为准，主要包含结算周期、费率类型、区间、员工签约费率、给商户默认费率等，可对通道进行增减及修改；</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70" w:hRule="atLeast"/>
        </w:trPr>
        <w:tc>
          <w:tcPr>
            <w:tcW w:w="5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645"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12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auto"/>
                <w:sz w:val="22"/>
              </w:rPr>
            </w:pPr>
            <w:r>
              <w:rPr>
                <w:rFonts w:hint="eastAsia" w:ascii="宋体" w:hAnsi="宋体" w:cs="宋体"/>
                <w:color w:val="auto"/>
                <w:sz w:val="22"/>
                <w:lang w:bidi="ar"/>
              </w:rPr>
              <w:t>操作</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sz w:val="22"/>
                <w:lang w:bidi="ar"/>
              </w:rPr>
              <w:t>操作：新增、编辑、删除、重置密码、导出Excel</w:t>
            </w:r>
            <w:r>
              <w:rPr>
                <w:rFonts w:hint="eastAsia" w:ascii="宋体" w:hAnsi="宋体" w:cs="宋体"/>
                <w:color w:val="auto"/>
                <w:sz w:val="22"/>
                <w:lang w:bidi="ar"/>
              </w:rPr>
              <w:br w:type="textWrapping"/>
            </w:r>
            <w:r>
              <w:rPr>
                <w:rFonts w:hint="eastAsia" w:ascii="宋体" w:hAnsi="宋体" w:cs="宋体"/>
                <w:color w:val="auto"/>
                <w:sz w:val="22"/>
                <w:lang w:bidi="ar"/>
              </w:rPr>
              <w:t>查询：根据员工姓名、手机、员工账号、员工状态进行查询</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70" w:hRule="atLeast"/>
        </w:trPr>
        <w:tc>
          <w:tcPr>
            <w:tcW w:w="5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645"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124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sz w:val="22"/>
                <w:lang w:bidi="ar"/>
              </w:rPr>
              <w:t>渠道管理</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sz w:val="22"/>
                <w:lang w:bidi="ar"/>
              </w:rPr>
              <w:t>渠道层级信息</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sz w:val="22"/>
                <w:lang w:bidi="ar"/>
              </w:rPr>
              <w:t>层级名称、排序、通道权限是否允许开通；</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70" w:hRule="atLeast"/>
        </w:trPr>
        <w:tc>
          <w:tcPr>
            <w:tcW w:w="5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645"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12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sz w:val="22"/>
                <w:lang w:bidi="ar"/>
              </w:rPr>
              <w:t>渠道费率设置</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sz w:val="22"/>
                <w:lang w:bidi="ar"/>
              </w:rPr>
              <w:t>渠道下属员工可添加通道及设置通道对应的费率，支持修改及删除；</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70" w:hRule="atLeast"/>
        </w:trPr>
        <w:tc>
          <w:tcPr>
            <w:tcW w:w="5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645"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124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sz w:val="22"/>
                <w:lang w:bidi="ar"/>
              </w:rPr>
              <w:t>商户管理</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auto"/>
                <w:sz w:val="22"/>
              </w:rPr>
            </w:pPr>
            <w:r>
              <w:rPr>
                <w:rFonts w:hint="eastAsia" w:ascii="宋体" w:hAnsi="宋体" w:cs="宋体"/>
                <w:color w:val="auto"/>
                <w:sz w:val="22"/>
                <w:lang w:bidi="ar"/>
              </w:rPr>
              <w:t>新建商户信息</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sz w:val="22"/>
                <w:lang w:bidi="ar"/>
              </w:rPr>
              <w:t>商户基础信息：商户账号、商户绑定密码、商户全称（与营业执照一致）、商户简称、商户类型（个人、个体、企业等）、经营类型（实体、网络等）、法人姓名、法人身份证、身份证有效日期、、负责人姓名、负责人身份证、负责人联系手机、负责人邮箱、省份及城市、联系地址、营业执照号、执照有效期、执照类型（是否为多证合一等）、经营类目选择、行业类别（通用）、行业类别（微信）、行业类别（支付宝）、经营范围、收款人信息（银行卡类型（对公、对私）、银行卡号、持卡人姓名、手机号、身份证号码、开户银行支行联行号、开户银行总行名称、开户银行支行名称）；</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70" w:hRule="atLeast"/>
        </w:trPr>
        <w:tc>
          <w:tcPr>
            <w:tcW w:w="5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645"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12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auto"/>
                <w:sz w:val="22"/>
              </w:rPr>
            </w:pPr>
            <w:r>
              <w:rPr>
                <w:rFonts w:hint="eastAsia" w:ascii="宋体" w:hAnsi="宋体" w:cs="宋体"/>
                <w:color w:val="auto"/>
                <w:sz w:val="22"/>
                <w:lang w:bidi="ar"/>
              </w:rPr>
              <w:t>商户设置</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sz w:val="22"/>
                <w:lang w:bidi="ar"/>
              </w:rPr>
              <w:t>商户设置：微信支付通道、支付宝支付通道、进件验证微信号、独立微信号APPID、独立微信号秘钥APPSECRET、客服手机、所属员工、截止日期、申请状态（审核中、审核失败等补件、审核通过等付款、已付款等待确认、账号开通）、短信剩余数、账号状态（启用、禁用）、交易是否参与分润、交易通知设置；</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70" w:hRule="atLeast"/>
        </w:trPr>
        <w:tc>
          <w:tcPr>
            <w:tcW w:w="5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645"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12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auto"/>
                <w:sz w:val="22"/>
              </w:rPr>
            </w:pPr>
            <w:r>
              <w:rPr>
                <w:rFonts w:hint="eastAsia" w:ascii="宋体" w:hAnsi="宋体" w:cs="宋体"/>
                <w:color w:val="auto"/>
                <w:sz w:val="22"/>
                <w:lang w:bidi="ar"/>
              </w:rPr>
              <w:t>商户通道设置</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sz w:val="22"/>
                <w:lang w:bidi="ar"/>
              </w:rPr>
              <w:t>支付宝支付：设置状态（禁用、启用）、费率设置（查看费率并支持编辑员工签约费率）、申请支付授权（商户账号、商户名称、营业执照号、营业执照、营业期限、资质许可证、店铺招牌照、行业类别、申请费率、支付宝账号、Pid商户号、联系人姓名、联系人手机、联系人邮箱、状态等）</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70" w:hRule="atLeast"/>
        </w:trPr>
        <w:tc>
          <w:tcPr>
            <w:tcW w:w="5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645"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12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auto"/>
                <w:sz w:val="22"/>
              </w:rPr>
            </w:pPr>
            <w:r>
              <w:rPr>
                <w:rFonts w:hint="eastAsia" w:ascii="宋体" w:hAnsi="宋体" w:cs="宋体"/>
                <w:color w:val="auto"/>
                <w:sz w:val="22"/>
                <w:lang w:bidi="ar"/>
              </w:rPr>
              <w:t>商户证件图片</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sz w:val="22"/>
                <w:lang w:bidi="ar"/>
              </w:rPr>
              <w:t>针对所有商户已上传证件进行管理</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70" w:hRule="atLeast"/>
        </w:trPr>
        <w:tc>
          <w:tcPr>
            <w:tcW w:w="5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645"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124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sz w:val="22"/>
                <w:lang w:bidi="ar"/>
              </w:rPr>
              <w:t>门店管理</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auto"/>
                <w:sz w:val="22"/>
              </w:rPr>
            </w:pPr>
            <w:r>
              <w:rPr>
                <w:rFonts w:hint="eastAsia" w:ascii="宋体" w:hAnsi="宋体" w:cs="宋体"/>
                <w:color w:val="auto"/>
                <w:sz w:val="22"/>
                <w:lang w:bidi="ar"/>
              </w:rPr>
              <w:t>门店信息</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sz w:val="22"/>
                <w:lang w:bidi="ar"/>
              </w:rPr>
              <w:t>新增：门店名称、归属商户号（支持商户号选择：商户名称和账号查询）、联系人、联系电话、门店地址、状态（正常、禁用）</w:t>
            </w:r>
            <w:r>
              <w:rPr>
                <w:rFonts w:hint="eastAsia" w:ascii="宋体" w:hAnsi="宋体" w:cs="宋体"/>
                <w:color w:val="auto"/>
                <w:sz w:val="22"/>
                <w:lang w:bidi="ar"/>
              </w:rPr>
              <w:br w:type="textWrapping"/>
            </w:r>
            <w:r>
              <w:rPr>
                <w:rFonts w:hint="eastAsia" w:ascii="宋体" w:hAnsi="宋体" w:cs="宋体"/>
                <w:color w:val="auto"/>
                <w:sz w:val="22"/>
                <w:lang w:bidi="ar"/>
              </w:rPr>
              <w:t>编辑：门店编号（不可更改）、归属商户号不可更改，其他如新增时的字段；</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70" w:hRule="atLeast"/>
        </w:trPr>
        <w:tc>
          <w:tcPr>
            <w:tcW w:w="5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645"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12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auto"/>
                <w:sz w:val="22"/>
              </w:rPr>
            </w:pPr>
            <w:r>
              <w:rPr>
                <w:rFonts w:hint="eastAsia" w:ascii="宋体" w:hAnsi="宋体" w:cs="宋体"/>
                <w:color w:val="auto"/>
                <w:sz w:val="22"/>
                <w:lang w:bidi="ar"/>
              </w:rPr>
              <w:t>操作</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sz w:val="22"/>
                <w:lang w:bidi="ar"/>
              </w:rPr>
              <w:t>新增、编辑、删除；</w:t>
            </w:r>
            <w:r>
              <w:rPr>
                <w:rFonts w:hint="eastAsia" w:ascii="宋体" w:hAnsi="宋体" w:cs="宋体"/>
                <w:color w:val="auto"/>
                <w:sz w:val="22"/>
                <w:lang w:bidi="ar"/>
              </w:rPr>
              <w:br w:type="textWrapping"/>
            </w:r>
            <w:r>
              <w:rPr>
                <w:rFonts w:hint="eastAsia" w:ascii="宋体" w:hAnsi="宋体" w:cs="宋体"/>
                <w:color w:val="auto"/>
                <w:sz w:val="22"/>
                <w:lang w:bidi="ar"/>
              </w:rPr>
              <w:t>查询：门店编号、门店名称、商户账号；</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70" w:hRule="atLeast"/>
        </w:trPr>
        <w:tc>
          <w:tcPr>
            <w:tcW w:w="5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645"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124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sz w:val="22"/>
                <w:lang w:bidi="ar"/>
              </w:rPr>
              <w:t>操作员管理</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auto"/>
                <w:sz w:val="22"/>
              </w:rPr>
            </w:pPr>
            <w:r>
              <w:rPr>
                <w:rFonts w:hint="eastAsia" w:ascii="宋体" w:hAnsi="宋体" w:cs="宋体"/>
                <w:color w:val="auto"/>
                <w:sz w:val="22"/>
                <w:lang w:bidi="ar"/>
              </w:rPr>
              <w:t>操作员信息</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sz w:val="22"/>
                <w:lang w:bidi="ar"/>
              </w:rPr>
              <w:t>账号、操作员类型、密码、姓名、性别、手机、归属商户号、归属门店、状态、备注；</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70" w:hRule="atLeast"/>
        </w:trPr>
        <w:tc>
          <w:tcPr>
            <w:tcW w:w="5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645"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12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auto"/>
                <w:sz w:val="22"/>
              </w:rPr>
            </w:pPr>
            <w:r>
              <w:rPr>
                <w:rFonts w:hint="eastAsia" w:ascii="宋体" w:hAnsi="宋体" w:cs="宋体"/>
                <w:color w:val="auto"/>
                <w:sz w:val="22"/>
                <w:lang w:bidi="ar"/>
              </w:rPr>
              <w:t>操作</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sz w:val="22"/>
                <w:lang w:bidi="ar"/>
              </w:rPr>
              <w:t>新增、编辑</w:t>
            </w:r>
            <w:r>
              <w:rPr>
                <w:rFonts w:hint="eastAsia" w:ascii="宋体" w:hAnsi="宋体" w:cs="宋体"/>
                <w:color w:val="auto"/>
                <w:sz w:val="22"/>
                <w:lang w:bidi="ar"/>
              </w:rPr>
              <w:br w:type="textWrapping"/>
            </w:r>
            <w:r>
              <w:rPr>
                <w:rFonts w:hint="eastAsia" w:ascii="宋体" w:hAnsi="宋体" w:cs="宋体"/>
                <w:color w:val="auto"/>
                <w:sz w:val="22"/>
                <w:lang w:bidi="ar"/>
              </w:rPr>
              <w:t>查询：操作员账号、操作员姓名、手机等；</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70" w:hRule="atLeast"/>
        </w:trPr>
        <w:tc>
          <w:tcPr>
            <w:tcW w:w="5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645"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sz w:val="22"/>
                <w:lang w:bidi="ar"/>
              </w:rPr>
              <w:t>我的账户</w:t>
            </w:r>
          </w:p>
        </w:tc>
        <w:tc>
          <w:tcPr>
            <w:tcW w:w="124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sz w:val="22"/>
                <w:lang w:bidi="ar"/>
              </w:rPr>
              <w:t>二维码管理</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auto"/>
                <w:sz w:val="22"/>
              </w:rPr>
            </w:pPr>
            <w:r>
              <w:rPr>
                <w:rFonts w:hint="eastAsia" w:ascii="宋体" w:hAnsi="宋体" w:cs="宋体"/>
                <w:color w:val="auto"/>
                <w:sz w:val="22"/>
                <w:lang w:bidi="ar"/>
              </w:rPr>
              <w:t>添加二维码</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sz w:val="22"/>
                <w:lang w:bidi="ar"/>
              </w:rPr>
              <w:t>支付类型（扫码和快捷、仅扫码、仅快捷）、归属员工（可使用员工姓名、手机、员工账号进行查询，员工列表进行选择）、是否绑定商户（若已绑定商户，则需提供商户列表进行选择）、收款时是否显示商家名称、商品描述、交易通知手机号、支付金额类型（固定金额（金额填写）、手输金额）、查看操作员账号、账号状态；</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70" w:hRule="atLeast"/>
        </w:trPr>
        <w:tc>
          <w:tcPr>
            <w:tcW w:w="5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645"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12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auto"/>
                <w:sz w:val="22"/>
              </w:rPr>
            </w:pPr>
            <w:r>
              <w:rPr>
                <w:rFonts w:hint="eastAsia" w:ascii="宋体" w:hAnsi="宋体" w:cs="宋体"/>
                <w:color w:val="auto"/>
                <w:sz w:val="22"/>
                <w:lang w:bidi="ar"/>
              </w:rPr>
              <w:t>编辑二维码</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sz w:val="22"/>
                <w:lang w:bidi="ar"/>
              </w:rPr>
              <w:t>二维码编号创建后不支持更改、商户绑定后不支持更改，其他信息可编辑</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70" w:hRule="atLeast"/>
        </w:trPr>
        <w:tc>
          <w:tcPr>
            <w:tcW w:w="5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645"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12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auto"/>
                <w:sz w:val="22"/>
              </w:rPr>
            </w:pPr>
            <w:r>
              <w:rPr>
                <w:rFonts w:hint="eastAsia" w:ascii="宋体" w:hAnsi="宋体" w:cs="宋体"/>
                <w:color w:val="auto"/>
                <w:sz w:val="22"/>
                <w:lang w:bidi="ar"/>
              </w:rPr>
              <w:t>操作</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sz w:val="22"/>
                <w:lang w:bidi="ar"/>
              </w:rPr>
              <w:t>新增、编辑、查看二维码、导出Excel（含二维码编号、绑定商户、分配员工、二维码链接）、批量生成二维码（批次代码、二维码大小、固码类型、起始序列号、生成个数）、二维码划拨（划拨二维码至选定员工，需提供员工列表供选择）；</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70" w:hRule="atLeast"/>
        </w:trPr>
        <w:tc>
          <w:tcPr>
            <w:tcW w:w="5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645"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124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sz w:val="22"/>
                <w:lang w:bidi="ar"/>
              </w:rPr>
              <w:t>我的银行卡</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auto"/>
                <w:sz w:val="22"/>
              </w:rPr>
            </w:pPr>
            <w:r>
              <w:rPr>
                <w:rFonts w:hint="eastAsia" w:ascii="宋体" w:hAnsi="宋体" w:cs="宋体"/>
                <w:color w:val="auto"/>
                <w:sz w:val="22"/>
                <w:lang w:bidi="ar"/>
              </w:rPr>
              <w:t>添加银行账号</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sz w:val="22"/>
                <w:lang w:bidi="ar"/>
              </w:rPr>
              <w:t>持卡人银行卡类型（对公、对私）、持卡人银行卡号、持卡人姓名、持卡人手机号、持卡人身份证号码、开户银行支行联行号、开户银行总行名称、开户银行支行名称、开户银行所在省、开户银行所在市、开户银行地址、备注、是否为默认；</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70" w:hRule="atLeast"/>
        </w:trPr>
        <w:tc>
          <w:tcPr>
            <w:tcW w:w="5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645"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12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auto"/>
                <w:sz w:val="22"/>
              </w:rPr>
            </w:pPr>
            <w:r>
              <w:rPr>
                <w:rFonts w:hint="eastAsia" w:ascii="宋体" w:hAnsi="宋体" w:cs="宋体"/>
                <w:color w:val="auto"/>
                <w:sz w:val="22"/>
                <w:lang w:bidi="ar"/>
              </w:rPr>
              <w:t>操作</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sz w:val="22"/>
                <w:lang w:bidi="ar"/>
              </w:rPr>
              <w:t>新增、编辑；</w:t>
            </w:r>
            <w:r>
              <w:rPr>
                <w:rFonts w:hint="eastAsia" w:ascii="宋体" w:hAnsi="宋体" w:cs="宋体"/>
                <w:color w:val="auto"/>
                <w:sz w:val="22"/>
                <w:lang w:bidi="ar"/>
              </w:rPr>
              <w:br w:type="textWrapping"/>
            </w:r>
            <w:r>
              <w:rPr>
                <w:rFonts w:hint="eastAsia" w:ascii="宋体" w:hAnsi="宋体" w:cs="宋体"/>
                <w:color w:val="auto"/>
                <w:sz w:val="22"/>
                <w:lang w:bidi="ar"/>
              </w:rPr>
              <w:t>查询：银行卡号、开户人、手机号、身份证号进行查询；</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70" w:hRule="atLeast"/>
        </w:trPr>
        <w:tc>
          <w:tcPr>
            <w:tcW w:w="5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645"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sz w:val="22"/>
                <w:lang w:bidi="ar"/>
              </w:rPr>
              <w:t>交易管理</w:t>
            </w:r>
          </w:p>
        </w:tc>
        <w:tc>
          <w:tcPr>
            <w:tcW w:w="124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sz w:val="22"/>
                <w:lang w:bidi="ar"/>
              </w:rPr>
              <w:t>订单查询</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auto"/>
                <w:sz w:val="22"/>
              </w:rPr>
            </w:pPr>
            <w:r>
              <w:rPr>
                <w:rFonts w:hint="eastAsia" w:ascii="宋体" w:hAnsi="宋体" w:cs="宋体"/>
                <w:color w:val="auto"/>
                <w:sz w:val="22"/>
                <w:lang w:bidi="ar"/>
              </w:rPr>
              <w:t>订单交易管理</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sz w:val="22"/>
                <w:lang w:bidi="ar"/>
              </w:rPr>
              <w:t>订单号、下单时间、支付时间、交易金额、退款金额、退款时间、商户名称、商户账号、门店、支付渠道、支付方式、状态、所属渠道、所属员工、操作员号、操作员姓名、固定二维码名称、交易状态；</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70" w:hRule="atLeast"/>
        </w:trPr>
        <w:tc>
          <w:tcPr>
            <w:tcW w:w="5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645"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12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auto"/>
                <w:sz w:val="22"/>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auto"/>
                <w:sz w:val="22"/>
              </w:rPr>
            </w:pPr>
            <w:r>
              <w:rPr>
                <w:rFonts w:hint="eastAsia" w:ascii="宋体" w:hAnsi="宋体" w:cs="宋体"/>
                <w:color w:val="auto"/>
                <w:sz w:val="22"/>
                <w:lang w:bidi="ar"/>
              </w:rPr>
              <w:t>操作</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sz w:val="22"/>
                <w:lang w:bidi="ar"/>
              </w:rPr>
              <w:t>导出Excel；</w:t>
            </w:r>
            <w:r>
              <w:rPr>
                <w:rFonts w:hint="eastAsia" w:ascii="宋体" w:hAnsi="宋体" w:cs="宋体"/>
                <w:color w:val="auto"/>
                <w:sz w:val="22"/>
                <w:lang w:bidi="ar"/>
              </w:rPr>
              <w:br w:type="textWrapping"/>
            </w:r>
            <w:r>
              <w:rPr>
                <w:rFonts w:hint="eastAsia" w:ascii="宋体" w:hAnsi="宋体" w:cs="宋体"/>
                <w:color w:val="auto"/>
                <w:sz w:val="22"/>
                <w:lang w:bidi="ar"/>
              </w:rPr>
              <w:t>查询：订单号、商户名称、下单日期筛选、状态；</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70" w:hRule="atLeast"/>
        </w:trPr>
        <w:tc>
          <w:tcPr>
            <w:tcW w:w="5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645"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sz w:val="22"/>
                <w:lang w:bidi="ar"/>
              </w:rPr>
              <w:t>账单管理</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sz w:val="22"/>
                <w:lang w:bidi="ar"/>
              </w:rPr>
              <w:t>商户名称、账单月份、支付平台、交易笔数、结算费率、分润额、所属渠道、所属员工；</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70" w:hRule="atLeast"/>
        </w:trPr>
        <w:tc>
          <w:tcPr>
            <w:tcW w:w="5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645"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sz w:val="22"/>
                <w:lang w:bidi="ar"/>
              </w:rPr>
              <w:t>分润管理</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sz w:val="22"/>
                <w:lang w:bidi="ar"/>
              </w:rPr>
              <w:t>实时分润明细</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sz w:val="22"/>
                <w:lang w:bidi="ar"/>
              </w:rPr>
              <w:t>订单号、交易金额、支付平台、交易时间、渠道商、员工、分润额、计算方式、备注（可查看分润计算公式及可提现时间）</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70" w:hRule="atLeast"/>
        </w:trPr>
        <w:tc>
          <w:tcPr>
            <w:tcW w:w="5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645"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2385"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sz w:val="22"/>
                <w:lang w:bidi="ar"/>
              </w:rPr>
              <w:t>分润提现记录</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rPr>
            </w:pPr>
            <w:r>
              <w:rPr>
                <w:rFonts w:hint="eastAsia" w:ascii="宋体" w:hAnsi="宋体" w:cs="宋体"/>
                <w:color w:val="auto"/>
                <w:sz w:val="22"/>
                <w:lang w:bidi="ar"/>
              </w:rPr>
              <w:t>流水号、提现金额、提现员工、提现状态、提现时间等；</w:t>
            </w:r>
            <w:r>
              <w:rPr>
                <w:rFonts w:hint="eastAsia" w:ascii="宋体" w:hAnsi="宋体" w:cs="宋体"/>
                <w:color w:val="auto"/>
                <w:sz w:val="22"/>
                <w:lang w:bidi="ar"/>
              </w:rPr>
              <w:br w:type="textWrapping"/>
            </w:r>
            <w:r>
              <w:rPr>
                <w:rFonts w:hint="eastAsia" w:ascii="宋体" w:hAnsi="宋体" w:cs="宋体"/>
                <w:color w:val="auto"/>
                <w:sz w:val="22"/>
                <w:lang w:bidi="ar"/>
              </w:rPr>
              <w:t>可使用流水号进行查询；</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70" w:hRule="atLeast"/>
        </w:trPr>
        <w:tc>
          <w:tcPr>
            <w:tcW w:w="5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64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sz w:val="22"/>
                <w:lang w:bidi="ar"/>
              </w:rPr>
              <w:t>系统设置</w:t>
            </w:r>
          </w:p>
        </w:tc>
        <w:tc>
          <w:tcPr>
            <w:tcW w:w="124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sz w:val="22"/>
                <w:lang w:bidi="ar"/>
              </w:rPr>
              <w:t>字典管理</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cs="宋体"/>
                <w:color w:val="auto"/>
                <w:sz w:val="22"/>
              </w:rPr>
            </w:pPr>
            <w:r>
              <w:rPr>
                <w:rFonts w:hint="eastAsia" w:ascii="宋体" w:hAnsi="宋体" w:cs="宋体"/>
                <w:color w:val="auto"/>
                <w:sz w:val="22"/>
                <w:lang w:bidi="ar"/>
              </w:rPr>
              <w:t>添加字典</w:t>
            </w:r>
          </w:p>
        </w:tc>
        <w:tc>
          <w:tcPr>
            <w:tcW w:w="411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sz w:val="22"/>
                <w:lang w:bidi="ar"/>
              </w:rPr>
              <w:t>字典名、字典类别、字典码、字典值、备注；</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70" w:hRule="atLeast"/>
        </w:trPr>
        <w:tc>
          <w:tcPr>
            <w:tcW w:w="5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64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124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lang w:bidi="ar"/>
              </w:rPr>
            </w:pP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cs="宋体"/>
                <w:color w:val="auto"/>
                <w:sz w:val="22"/>
              </w:rPr>
            </w:pPr>
            <w:r>
              <w:rPr>
                <w:rFonts w:hint="eastAsia" w:ascii="宋体" w:hAnsi="宋体" w:cs="宋体"/>
                <w:color w:val="auto"/>
                <w:sz w:val="22"/>
                <w:lang w:bidi="ar"/>
              </w:rPr>
              <w:t>操作</w:t>
            </w:r>
          </w:p>
        </w:tc>
        <w:tc>
          <w:tcPr>
            <w:tcW w:w="411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sz w:val="22"/>
              </w:rPr>
            </w:pPr>
            <w:r>
              <w:rPr>
                <w:rFonts w:hint="eastAsia" w:ascii="宋体" w:hAnsi="宋体" w:cs="宋体"/>
                <w:color w:val="auto"/>
                <w:sz w:val="22"/>
                <w:lang w:bidi="ar"/>
              </w:rPr>
              <w:t>新增、编辑；</w:t>
            </w:r>
            <w:r>
              <w:rPr>
                <w:rFonts w:hint="eastAsia" w:ascii="宋体" w:hAnsi="宋体" w:cs="宋体"/>
                <w:color w:val="auto"/>
                <w:sz w:val="22"/>
                <w:lang w:bidi="ar"/>
              </w:rPr>
              <w:br w:type="textWrapping"/>
            </w:r>
            <w:r>
              <w:rPr>
                <w:rFonts w:hint="eastAsia" w:ascii="宋体" w:hAnsi="宋体" w:cs="宋体"/>
                <w:color w:val="auto"/>
                <w:sz w:val="22"/>
                <w:lang w:bidi="ar"/>
              </w:rPr>
              <w:t>查询：字典名、字典码、字典类别。</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70" w:hRule="atLeast"/>
        </w:trPr>
        <w:tc>
          <w:tcPr>
            <w:tcW w:w="5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64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cs="宋体"/>
                <w:color w:val="auto"/>
                <w:sz w:val="22"/>
                <w:lang w:val="en-US" w:eastAsia="zh-CN"/>
              </w:rPr>
            </w:pPr>
            <w:r>
              <w:rPr>
                <w:rFonts w:hint="eastAsia" w:ascii="宋体" w:hAnsi="宋体" w:cs="宋体"/>
                <w:color w:val="auto"/>
                <w:sz w:val="22"/>
                <w:lang w:val="en-US" w:eastAsia="zh-CN"/>
              </w:rPr>
              <w:t>支付流程</w:t>
            </w:r>
          </w:p>
          <w:p>
            <w:pPr>
              <w:jc w:val="both"/>
              <w:rPr>
                <w:rFonts w:hint="default" w:ascii="宋体" w:hAnsi="宋体" w:cs="宋体"/>
                <w:color w:val="auto"/>
                <w:sz w:val="22"/>
                <w:lang w:val="en-US" w:eastAsia="zh-CN"/>
              </w:rPr>
            </w:pPr>
          </w:p>
        </w:tc>
        <w:tc>
          <w:tcPr>
            <w:tcW w:w="238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hint="default" w:ascii="宋体" w:hAnsi="宋体" w:cs="宋体"/>
                <w:color w:val="auto"/>
                <w:sz w:val="22"/>
                <w:lang w:val="en-US" w:eastAsia="zh-CN" w:bidi="ar"/>
              </w:rPr>
            </w:pPr>
            <w:r>
              <w:rPr>
                <w:rFonts w:hint="eastAsia" w:ascii="宋体" w:hAnsi="宋体" w:cs="宋体"/>
                <w:color w:val="auto"/>
                <w:sz w:val="22"/>
                <w:lang w:val="en-US" w:eastAsia="zh-CN" w:bidi="ar"/>
              </w:rPr>
              <w:t>支付宝</w:t>
            </w:r>
          </w:p>
        </w:tc>
        <w:tc>
          <w:tcPr>
            <w:tcW w:w="411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auto"/>
                <w:sz w:val="22"/>
                <w:lang w:val="en-US" w:eastAsia="zh-CN" w:bidi="ar"/>
              </w:rPr>
            </w:pPr>
            <w:r>
              <w:rPr>
                <w:rFonts w:hint="eastAsia" w:ascii="宋体" w:hAnsi="宋体" w:cs="宋体"/>
                <w:color w:val="auto"/>
                <w:sz w:val="22"/>
                <w:lang w:val="en-US" w:eastAsia="zh-CN" w:bidi="ar"/>
              </w:rPr>
              <w:t>当面付申请流程：</w:t>
            </w:r>
          </w:p>
          <w:p>
            <w:pPr>
              <w:widowControl/>
              <w:jc w:val="left"/>
              <w:textAlignment w:val="center"/>
              <w:rPr>
                <w:rFonts w:hint="eastAsia" w:ascii="宋体" w:hAnsi="宋体" w:cs="宋体"/>
                <w:color w:val="auto"/>
                <w:sz w:val="22"/>
                <w:lang w:val="en-US" w:eastAsia="zh-CN" w:bidi="ar"/>
              </w:rPr>
            </w:pPr>
          </w:p>
          <w:p>
            <w:pPr>
              <w:widowControl/>
              <w:jc w:val="left"/>
              <w:textAlignment w:val="center"/>
              <w:rPr>
                <w:rFonts w:hint="eastAsia" w:ascii="宋体" w:hAnsi="宋体" w:cs="宋体"/>
                <w:color w:val="auto"/>
                <w:sz w:val="22"/>
                <w:lang w:val="en-US" w:eastAsia="zh-CN" w:bidi="ar"/>
              </w:rPr>
            </w:pPr>
            <w:r>
              <w:rPr>
                <w:rFonts w:hint="eastAsia" w:ascii="宋体" w:hAnsi="宋体" w:cs="宋体"/>
                <w:color w:val="auto"/>
                <w:sz w:val="22"/>
                <w:lang w:val="en-US" w:eastAsia="zh-CN" w:bidi="ar"/>
              </w:rPr>
              <w:t>提交申请-》验证是否签约当面付</w:t>
            </w:r>
          </w:p>
          <w:p>
            <w:pPr>
              <w:widowControl/>
              <w:jc w:val="left"/>
              <w:textAlignment w:val="center"/>
              <w:rPr>
                <w:rFonts w:hint="eastAsia" w:ascii="宋体" w:hAnsi="宋体" w:cs="宋体"/>
                <w:color w:val="auto"/>
                <w:sz w:val="22"/>
                <w:lang w:val="en-US" w:eastAsia="zh-CN" w:bidi="ar"/>
              </w:rPr>
            </w:pPr>
            <w:r>
              <w:rPr>
                <w:rFonts w:hint="eastAsia" w:ascii="宋体" w:hAnsi="宋体" w:cs="宋体"/>
                <w:color w:val="auto"/>
                <w:sz w:val="22"/>
                <w:lang w:val="en-US" w:eastAsia="zh-CN" w:bidi="ar"/>
              </w:rPr>
              <w:t>-》是【对应用授权】-》完成</w:t>
            </w:r>
          </w:p>
          <w:p>
            <w:pPr>
              <w:widowControl/>
              <w:jc w:val="left"/>
              <w:textAlignment w:val="center"/>
              <w:rPr>
                <w:rFonts w:hint="eastAsia" w:ascii="宋体" w:hAnsi="宋体" w:cs="宋体"/>
                <w:color w:val="auto"/>
                <w:sz w:val="22"/>
                <w:lang w:val="en-US" w:eastAsia="zh-CN" w:bidi="ar"/>
              </w:rPr>
            </w:pPr>
            <w:r>
              <w:rPr>
                <w:rFonts w:hint="eastAsia" w:ascii="宋体" w:hAnsi="宋体" w:cs="宋体"/>
                <w:color w:val="auto"/>
                <w:sz w:val="22"/>
                <w:lang w:val="en-US" w:eastAsia="zh-CN" w:bidi="ar"/>
              </w:rPr>
              <w:t>-》否【代签约】提交商户信息到支付宝-》商户确认签约【同时完成应用授权】-》完成签约</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70" w:hRule="atLeast"/>
        </w:trPr>
        <w:tc>
          <w:tcPr>
            <w:tcW w:w="5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64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cs="宋体"/>
                <w:color w:val="auto"/>
                <w:sz w:val="22"/>
                <w:lang w:val="en-US" w:eastAsia="zh-CN"/>
              </w:rPr>
            </w:pPr>
          </w:p>
        </w:tc>
        <w:tc>
          <w:tcPr>
            <w:tcW w:w="238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hint="default" w:ascii="宋体" w:hAnsi="宋体" w:cs="宋体"/>
                <w:color w:val="auto"/>
                <w:sz w:val="22"/>
                <w:lang w:val="en-US" w:eastAsia="zh-CN" w:bidi="ar"/>
              </w:rPr>
            </w:pPr>
            <w:r>
              <w:rPr>
                <w:rFonts w:hint="eastAsia" w:ascii="宋体" w:hAnsi="宋体" w:cs="宋体"/>
                <w:color w:val="auto"/>
                <w:sz w:val="22"/>
                <w:lang w:val="en-US" w:eastAsia="zh-CN" w:bidi="ar"/>
              </w:rPr>
              <w:t>微信</w:t>
            </w:r>
          </w:p>
        </w:tc>
        <w:tc>
          <w:tcPr>
            <w:tcW w:w="411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b w:val="0"/>
                <w:bCs/>
                <w:color w:val="auto"/>
                <w:sz w:val="22"/>
                <w:szCs w:val="22"/>
                <w:lang w:eastAsia="zh-CN"/>
              </w:rPr>
            </w:pPr>
            <w:r>
              <w:rPr>
                <w:rFonts w:ascii="宋体" w:hAnsi="宋体" w:eastAsia="宋体" w:cs="宋体"/>
                <w:b w:val="0"/>
                <w:bCs/>
                <w:color w:val="auto"/>
                <w:sz w:val="22"/>
                <w:szCs w:val="22"/>
              </w:rPr>
              <w:t>微信WEB支付流程</w:t>
            </w:r>
            <w:r>
              <w:rPr>
                <w:rFonts w:hint="eastAsia" w:ascii="宋体" w:hAnsi="宋体" w:cs="宋体"/>
                <w:b w:val="0"/>
                <w:bCs/>
                <w:color w:val="auto"/>
                <w:sz w:val="22"/>
                <w:szCs w:val="22"/>
                <w:lang w:eastAsia="zh-CN"/>
              </w:rPr>
              <w:t>：</w:t>
            </w:r>
          </w:p>
          <w:p>
            <w:pPr>
              <w:widowControl/>
              <w:jc w:val="left"/>
              <w:textAlignment w:val="center"/>
              <w:rPr>
                <w:rFonts w:hint="eastAsia" w:ascii="宋体" w:hAnsi="宋体" w:cs="宋体"/>
                <w:b w:val="0"/>
                <w:bCs/>
                <w:color w:val="auto"/>
                <w:sz w:val="22"/>
                <w:szCs w:val="22"/>
                <w:lang w:eastAsia="zh-CN"/>
              </w:rPr>
            </w:pPr>
          </w:p>
          <w:p>
            <w:pPr>
              <w:widowControl/>
              <w:numPr>
                <w:ilvl w:val="-1"/>
                <w:numId w:val="0"/>
              </w:numPr>
              <w:jc w:val="left"/>
              <w:textAlignment w:val="center"/>
              <w:rPr>
                <w:rFonts w:hint="eastAsia" w:ascii="宋体" w:hAnsi="宋体" w:cs="宋体"/>
                <w:b w:val="0"/>
                <w:bCs/>
                <w:color w:val="auto"/>
                <w:sz w:val="22"/>
                <w:szCs w:val="22"/>
                <w:lang w:val="en-US" w:eastAsia="zh-CN"/>
              </w:rPr>
            </w:pPr>
            <w:r>
              <w:rPr>
                <w:rFonts w:hint="eastAsia" w:ascii="宋体" w:hAnsi="宋体" w:cs="宋体"/>
                <w:b w:val="0"/>
                <w:bCs/>
                <w:color w:val="auto"/>
                <w:sz w:val="22"/>
                <w:szCs w:val="22"/>
                <w:lang w:val="en-US" w:eastAsia="zh-CN"/>
              </w:rPr>
              <w:t>步骤一</w:t>
            </w:r>
            <w:bookmarkStart w:id="0" w:name="_GoBack"/>
            <w:bookmarkEnd w:id="0"/>
            <w:r>
              <w:rPr>
                <w:rFonts w:hint="eastAsia" w:ascii="宋体" w:hAnsi="宋体" w:cs="宋体"/>
                <w:b w:val="0"/>
                <w:bCs/>
                <w:color w:val="auto"/>
                <w:sz w:val="22"/>
                <w:szCs w:val="22"/>
                <w:lang w:val="en-US" w:eastAsia="zh-CN"/>
              </w:rPr>
              <w:t> 用户下单发起支付，商户可通过微信支付《APP下单 、 JSAPI支付、Native下单、H5下单》创建支付订单。</w:t>
            </w:r>
          </w:p>
          <w:p>
            <w:pPr>
              <w:widowControl/>
              <w:numPr>
                <w:ilvl w:val="-1"/>
                <w:numId w:val="0"/>
              </w:numPr>
              <w:jc w:val="left"/>
              <w:textAlignment w:val="center"/>
              <w:rPr>
                <w:rFonts w:hint="eastAsia" w:ascii="宋体" w:hAnsi="宋体" w:cs="宋体"/>
                <w:b w:val="0"/>
                <w:bCs/>
                <w:color w:val="auto"/>
                <w:sz w:val="22"/>
                <w:szCs w:val="22"/>
                <w:lang w:val="en-US" w:eastAsia="zh-CN"/>
              </w:rPr>
            </w:pPr>
          </w:p>
          <w:p>
            <w:pPr>
              <w:widowControl/>
              <w:numPr>
                <w:ilvl w:val="-1"/>
                <w:numId w:val="0"/>
              </w:numPr>
              <w:jc w:val="left"/>
              <w:textAlignment w:val="center"/>
              <w:rPr>
                <w:rFonts w:hint="eastAsia" w:ascii="宋体" w:hAnsi="宋体" w:cs="宋体"/>
                <w:b w:val="0"/>
                <w:bCs/>
                <w:color w:val="auto"/>
                <w:sz w:val="22"/>
                <w:szCs w:val="22"/>
                <w:lang w:val="en-US" w:eastAsia="zh-CN"/>
              </w:rPr>
            </w:pPr>
            <w:r>
              <w:rPr>
                <w:rFonts w:hint="eastAsia" w:ascii="宋体" w:hAnsi="宋体" w:cs="宋体"/>
                <w:b w:val="0"/>
                <w:bCs/>
                <w:color w:val="auto"/>
                <w:sz w:val="22"/>
                <w:szCs w:val="22"/>
                <w:lang w:val="en-US" w:eastAsia="zh-CN"/>
              </w:rPr>
              <w:t>步骤二 商户通过小程序《APP调起支付、JS调起支付、Native调起支付、H5调起支付》调起微信支付，发起支付请求。</w:t>
            </w:r>
          </w:p>
          <w:p>
            <w:pPr>
              <w:widowControl/>
              <w:numPr>
                <w:ilvl w:val="-1"/>
                <w:numId w:val="0"/>
              </w:numPr>
              <w:jc w:val="left"/>
              <w:textAlignment w:val="center"/>
              <w:rPr>
                <w:rFonts w:hint="eastAsia" w:ascii="宋体" w:hAnsi="宋体" w:cs="宋体"/>
                <w:b w:val="0"/>
                <w:bCs/>
                <w:color w:val="auto"/>
                <w:sz w:val="22"/>
                <w:szCs w:val="22"/>
                <w:lang w:val="en-US" w:eastAsia="zh-CN"/>
              </w:rPr>
            </w:pPr>
          </w:p>
          <w:p>
            <w:pPr>
              <w:widowControl/>
              <w:numPr>
                <w:ilvl w:val="-1"/>
                <w:numId w:val="0"/>
              </w:numPr>
              <w:jc w:val="left"/>
              <w:textAlignment w:val="center"/>
              <w:rPr>
                <w:rFonts w:hint="eastAsia" w:ascii="宋体" w:hAnsi="宋体" w:cs="宋体"/>
                <w:b w:val="0"/>
                <w:bCs/>
                <w:color w:val="auto"/>
                <w:sz w:val="22"/>
                <w:szCs w:val="22"/>
                <w:lang w:val="en-US" w:eastAsia="zh-CN"/>
              </w:rPr>
            </w:pPr>
            <w:r>
              <w:rPr>
                <w:rFonts w:hint="eastAsia" w:ascii="宋体" w:hAnsi="宋体" w:cs="宋体"/>
                <w:b w:val="0"/>
                <w:bCs/>
                <w:color w:val="auto"/>
                <w:sz w:val="22"/>
                <w:szCs w:val="22"/>
                <w:lang w:val="en-US" w:eastAsia="zh-CN"/>
              </w:rPr>
              <w:t>步骤三 用户支付成功后，商户可接收到微信支付支付结果通知《支付结果通知》。</w:t>
            </w:r>
          </w:p>
          <w:p>
            <w:pPr>
              <w:widowControl/>
              <w:numPr>
                <w:ilvl w:val="-1"/>
                <w:numId w:val="0"/>
              </w:numPr>
              <w:jc w:val="left"/>
              <w:textAlignment w:val="center"/>
              <w:rPr>
                <w:rFonts w:hint="eastAsia" w:ascii="宋体" w:hAnsi="宋体" w:cs="宋体"/>
                <w:b w:val="0"/>
                <w:bCs/>
                <w:color w:val="auto"/>
                <w:sz w:val="22"/>
                <w:szCs w:val="22"/>
                <w:lang w:val="en-US" w:eastAsia="zh-CN"/>
              </w:rPr>
            </w:pPr>
          </w:p>
          <w:p>
            <w:pPr>
              <w:widowControl/>
              <w:numPr>
                <w:ilvl w:val="-1"/>
                <w:numId w:val="0"/>
              </w:numPr>
              <w:jc w:val="left"/>
              <w:textAlignment w:val="center"/>
              <w:rPr>
                <w:rFonts w:hint="eastAsia" w:ascii="宋体" w:hAnsi="宋体" w:cs="宋体"/>
                <w:b w:val="0"/>
                <w:bCs/>
                <w:color w:val="auto"/>
                <w:sz w:val="22"/>
                <w:szCs w:val="22"/>
                <w:lang w:val="en-US" w:eastAsia="zh-CN"/>
              </w:rPr>
            </w:pPr>
            <w:r>
              <w:rPr>
                <w:rFonts w:hint="eastAsia" w:ascii="宋体" w:hAnsi="宋体" w:cs="宋体"/>
                <w:b w:val="0"/>
                <w:bCs/>
                <w:color w:val="auto"/>
                <w:sz w:val="22"/>
                <w:szCs w:val="22"/>
                <w:lang w:val="en-US" w:eastAsia="zh-CN"/>
              </w:rPr>
              <w:t>步骤四 商户也可主动调用《查询订单》查询支付结果。</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70" w:hRule="atLeast"/>
        </w:trPr>
        <w:tc>
          <w:tcPr>
            <w:tcW w:w="5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64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lang w:val="en-US" w:eastAsia="zh-CN"/>
              </w:rPr>
            </w:pPr>
            <w:r>
              <w:rPr>
                <w:rFonts w:hint="eastAsia" w:ascii="宋体" w:hAnsi="宋体" w:cs="宋体"/>
                <w:color w:val="auto"/>
                <w:sz w:val="22"/>
                <w:lang w:val="en-US" w:eastAsia="zh-CN"/>
              </w:rPr>
              <w:t>安全</w:t>
            </w:r>
          </w:p>
        </w:tc>
        <w:tc>
          <w:tcPr>
            <w:tcW w:w="238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hint="eastAsia" w:ascii="宋体" w:hAnsi="宋体" w:cs="宋体"/>
                <w:color w:val="auto"/>
                <w:sz w:val="22"/>
                <w:lang w:bidi="ar"/>
              </w:rPr>
            </w:pPr>
            <w:r>
              <w:rPr>
                <w:rFonts w:hint="eastAsia" w:ascii="宋体" w:hAnsi="宋体" w:cs="宋体"/>
                <w:color w:val="auto"/>
                <w:sz w:val="22"/>
                <w:lang w:val="en-US" w:eastAsia="zh-CN" w:bidi="ar"/>
              </w:rPr>
              <w:t>访问控制</w:t>
            </w:r>
          </w:p>
        </w:tc>
        <w:tc>
          <w:tcPr>
            <w:tcW w:w="411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宋体" w:hAnsi="宋体" w:eastAsia="宋体" w:cs="宋体"/>
                <w:color w:val="auto"/>
                <w:sz w:val="22"/>
                <w:lang w:val="en-US" w:eastAsia="zh-CN" w:bidi="ar"/>
              </w:rPr>
            </w:pPr>
            <w:r>
              <w:rPr>
                <w:rFonts w:hint="eastAsia" w:ascii="宋体" w:hAnsi="宋体" w:cs="宋体"/>
                <w:color w:val="auto"/>
                <w:sz w:val="22"/>
                <w:lang w:val="en-US" w:eastAsia="zh-CN" w:bidi="ar"/>
              </w:rPr>
              <w:t>控制合法用户才能对系统进行操作，需要采取口令机制进行访问控制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70" w:hRule="atLeast"/>
        </w:trPr>
        <w:tc>
          <w:tcPr>
            <w:tcW w:w="5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64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cs="宋体"/>
                <w:color w:val="auto"/>
                <w:sz w:val="22"/>
                <w:lang w:val="en-US" w:eastAsia="zh-CN"/>
              </w:rPr>
            </w:pPr>
          </w:p>
        </w:tc>
        <w:tc>
          <w:tcPr>
            <w:tcW w:w="238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hint="default" w:ascii="宋体" w:hAnsi="宋体" w:cs="宋体"/>
                <w:color w:val="auto"/>
                <w:sz w:val="22"/>
                <w:lang w:val="en-US" w:eastAsia="zh-CN" w:bidi="ar"/>
              </w:rPr>
            </w:pPr>
            <w:r>
              <w:rPr>
                <w:rFonts w:hint="eastAsia" w:ascii="宋体" w:hAnsi="宋体" w:cs="宋体"/>
                <w:color w:val="auto"/>
                <w:sz w:val="22"/>
                <w:lang w:val="en-US" w:eastAsia="zh-CN" w:bidi="ar"/>
              </w:rPr>
              <w:t>线路加密</w:t>
            </w:r>
          </w:p>
        </w:tc>
        <w:tc>
          <w:tcPr>
            <w:tcW w:w="411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宋体" w:hAnsi="宋体" w:cs="宋体"/>
                <w:color w:val="auto"/>
                <w:sz w:val="22"/>
                <w:lang w:val="en-US" w:eastAsia="zh-CN" w:bidi="ar"/>
              </w:rPr>
            </w:pPr>
            <w:r>
              <w:rPr>
                <w:rFonts w:hint="eastAsia" w:ascii="宋体" w:hAnsi="宋体" w:cs="宋体"/>
                <w:color w:val="auto"/>
                <w:sz w:val="22"/>
                <w:lang w:val="en-US" w:eastAsia="zh-CN" w:bidi="ar"/>
              </w:rPr>
              <w:t>为了保障支付信息的保密性，支付系统需要对支付报文进行加密</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70" w:hRule="atLeast"/>
        </w:trPr>
        <w:tc>
          <w:tcPr>
            <w:tcW w:w="5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64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cs="宋体"/>
                <w:color w:val="auto"/>
                <w:sz w:val="22"/>
                <w:lang w:val="en-US" w:eastAsia="zh-CN"/>
              </w:rPr>
            </w:pPr>
          </w:p>
        </w:tc>
        <w:tc>
          <w:tcPr>
            <w:tcW w:w="238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hint="default" w:ascii="宋体" w:hAnsi="宋体" w:cs="宋体"/>
                <w:color w:val="auto"/>
                <w:sz w:val="22"/>
                <w:lang w:val="en-US" w:eastAsia="zh-CN" w:bidi="ar"/>
              </w:rPr>
            </w:pPr>
            <w:r>
              <w:rPr>
                <w:rFonts w:hint="eastAsia" w:ascii="宋体" w:hAnsi="宋体" w:cs="宋体"/>
                <w:color w:val="auto"/>
                <w:sz w:val="22"/>
                <w:lang w:val="en-US" w:eastAsia="zh-CN" w:bidi="ar"/>
              </w:rPr>
              <w:t>密押机制</w:t>
            </w:r>
          </w:p>
        </w:tc>
        <w:tc>
          <w:tcPr>
            <w:tcW w:w="411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宋体" w:hAnsi="宋体" w:cs="宋体"/>
                <w:color w:val="auto"/>
                <w:sz w:val="22"/>
                <w:lang w:val="en-US" w:eastAsia="zh-CN" w:bidi="ar"/>
              </w:rPr>
            </w:pPr>
            <w:r>
              <w:rPr>
                <w:rFonts w:hint="eastAsia" w:ascii="宋体" w:hAnsi="宋体" w:cs="宋体"/>
                <w:color w:val="auto"/>
                <w:sz w:val="22"/>
                <w:lang w:val="en-US" w:eastAsia="zh-CN" w:bidi="ar"/>
              </w:rPr>
              <w:t>支付系统应该采用消息认证码或数字签名机制，对每一支付指令进行完整性和真实性校验。</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70" w:hRule="atLeast"/>
        </w:trPr>
        <w:tc>
          <w:tcPr>
            <w:tcW w:w="5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64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cs="宋体"/>
                <w:color w:val="auto"/>
                <w:sz w:val="22"/>
                <w:lang w:val="en-US" w:eastAsia="zh-CN"/>
              </w:rPr>
            </w:pPr>
          </w:p>
        </w:tc>
        <w:tc>
          <w:tcPr>
            <w:tcW w:w="238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hint="default" w:ascii="宋体" w:hAnsi="宋体" w:cs="宋体"/>
                <w:color w:val="auto"/>
                <w:sz w:val="22"/>
                <w:lang w:val="en-US" w:eastAsia="zh-CN" w:bidi="ar"/>
              </w:rPr>
            </w:pPr>
            <w:r>
              <w:rPr>
                <w:rFonts w:hint="eastAsia" w:ascii="宋体" w:hAnsi="宋体" w:cs="宋体"/>
                <w:color w:val="auto"/>
                <w:sz w:val="22"/>
                <w:lang w:val="en-US" w:eastAsia="zh-CN" w:bidi="ar"/>
              </w:rPr>
              <w:t>灾难备份</w:t>
            </w:r>
          </w:p>
        </w:tc>
        <w:tc>
          <w:tcPr>
            <w:tcW w:w="411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宋体" w:hAnsi="宋体" w:cs="宋体"/>
                <w:color w:val="auto"/>
                <w:sz w:val="22"/>
                <w:lang w:val="en-US" w:eastAsia="zh-CN" w:bidi="ar"/>
              </w:rPr>
            </w:pPr>
            <w:r>
              <w:rPr>
                <w:rFonts w:hint="eastAsia" w:ascii="宋体" w:hAnsi="宋体" w:cs="宋体"/>
                <w:color w:val="auto"/>
                <w:sz w:val="22"/>
                <w:lang w:val="en-US" w:eastAsia="zh-CN" w:bidi="ar"/>
              </w:rPr>
              <w:t>支付系统的建设都应采取灾难备份措施，以应付紧急情况或灾难发生时的业务处理。</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rPr>
            </w:pPr>
          </w:p>
        </w:tc>
      </w:tr>
      <w:tr>
        <w:tblPrEx>
          <w:tblCellMar>
            <w:top w:w="0" w:type="dxa"/>
            <w:left w:w="0" w:type="dxa"/>
            <w:bottom w:w="0" w:type="dxa"/>
            <w:right w:w="0" w:type="dxa"/>
          </w:tblCellMar>
        </w:tblPrEx>
        <w:trPr>
          <w:trHeight w:val="270" w:hRule="atLeast"/>
        </w:trPr>
        <w:tc>
          <w:tcPr>
            <w:tcW w:w="583"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auto"/>
                <w:sz w:val="22"/>
              </w:rPr>
            </w:pPr>
          </w:p>
        </w:tc>
        <w:tc>
          <w:tcPr>
            <w:tcW w:w="645"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cs="宋体"/>
                <w:color w:val="auto"/>
                <w:sz w:val="22"/>
                <w:lang w:val="en-US" w:eastAsia="zh-CN"/>
              </w:rPr>
            </w:pPr>
          </w:p>
        </w:tc>
        <w:tc>
          <w:tcPr>
            <w:tcW w:w="238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hint="default" w:ascii="宋体" w:hAnsi="宋体" w:cs="宋体"/>
                <w:color w:val="auto"/>
                <w:sz w:val="22"/>
                <w:lang w:val="en-US" w:eastAsia="zh-CN" w:bidi="ar"/>
              </w:rPr>
            </w:pPr>
            <w:r>
              <w:rPr>
                <w:rFonts w:hint="eastAsia" w:ascii="宋体" w:hAnsi="宋体" w:cs="宋体"/>
                <w:color w:val="auto"/>
                <w:sz w:val="22"/>
                <w:lang w:val="en-US" w:eastAsia="zh-CN" w:bidi="ar"/>
              </w:rPr>
              <w:t>防火墙</w:t>
            </w:r>
          </w:p>
        </w:tc>
        <w:tc>
          <w:tcPr>
            <w:tcW w:w="411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宋体" w:hAnsi="宋体" w:cs="宋体"/>
                <w:color w:val="auto"/>
                <w:sz w:val="22"/>
                <w:lang w:val="en-US" w:eastAsia="zh-CN" w:bidi="ar"/>
              </w:rPr>
            </w:pPr>
            <w:r>
              <w:rPr>
                <w:rFonts w:hint="eastAsia" w:ascii="宋体" w:hAnsi="宋体" w:cs="宋体"/>
                <w:color w:val="auto"/>
                <w:sz w:val="22"/>
                <w:lang w:val="en-US" w:eastAsia="zh-CN" w:bidi="ar"/>
              </w:rPr>
              <w:t>防止非法人员利用网络互联对系统进行攻击，在各处理中心和分中心与其他系统的连接处应采取适当的防火墙机制。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rPr>
            </w:pPr>
          </w:p>
        </w:tc>
      </w:tr>
    </w:tbl>
    <w:p>
      <w:pPr>
        <w:rPr>
          <w:rFonts w:ascii="宋体" w:hAnsi="宋体" w:cs="宋体"/>
          <w:bCs/>
          <w:sz w:val="28"/>
        </w:rPr>
      </w:pPr>
    </w:p>
    <w:sectPr>
      <w:footerReference r:id="rId3"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4DC"/>
    <w:rsid w:val="000B135E"/>
    <w:rsid w:val="0030030B"/>
    <w:rsid w:val="005C2472"/>
    <w:rsid w:val="00612094"/>
    <w:rsid w:val="008624DC"/>
    <w:rsid w:val="008A6008"/>
    <w:rsid w:val="00A42D1B"/>
    <w:rsid w:val="00CE7744"/>
    <w:rsid w:val="00DB473A"/>
    <w:rsid w:val="00FA405C"/>
    <w:rsid w:val="01BD5E88"/>
    <w:rsid w:val="0282380C"/>
    <w:rsid w:val="030E414B"/>
    <w:rsid w:val="04857E40"/>
    <w:rsid w:val="04DD7360"/>
    <w:rsid w:val="05B73440"/>
    <w:rsid w:val="06FD4D71"/>
    <w:rsid w:val="080B0141"/>
    <w:rsid w:val="08991808"/>
    <w:rsid w:val="0A1840C4"/>
    <w:rsid w:val="0A3D3249"/>
    <w:rsid w:val="0B3E6041"/>
    <w:rsid w:val="0B4A7637"/>
    <w:rsid w:val="0B8613B4"/>
    <w:rsid w:val="0BA42B8E"/>
    <w:rsid w:val="0E251378"/>
    <w:rsid w:val="0F143695"/>
    <w:rsid w:val="0F28792E"/>
    <w:rsid w:val="0F565CA9"/>
    <w:rsid w:val="109A0CBC"/>
    <w:rsid w:val="10EF5D9A"/>
    <w:rsid w:val="11622FDE"/>
    <w:rsid w:val="128D36A5"/>
    <w:rsid w:val="142A3027"/>
    <w:rsid w:val="144D32F2"/>
    <w:rsid w:val="150D7244"/>
    <w:rsid w:val="161511EA"/>
    <w:rsid w:val="1A7B0896"/>
    <w:rsid w:val="1ADF788A"/>
    <w:rsid w:val="1AE4151D"/>
    <w:rsid w:val="1AFA4961"/>
    <w:rsid w:val="1B770508"/>
    <w:rsid w:val="1C8147C6"/>
    <w:rsid w:val="20517299"/>
    <w:rsid w:val="211871E1"/>
    <w:rsid w:val="216E793D"/>
    <w:rsid w:val="221F5151"/>
    <w:rsid w:val="23224AE3"/>
    <w:rsid w:val="23345F8E"/>
    <w:rsid w:val="248A1CA3"/>
    <w:rsid w:val="257E7058"/>
    <w:rsid w:val="26E50F56"/>
    <w:rsid w:val="287679FB"/>
    <w:rsid w:val="293515BD"/>
    <w:rsid w:val="29E404D8"/>
    <w:rsid w:val="2A4A1F59"/>
    <w:rsid w:val="2BC92908"/>
    <w:rsid w:val="2C901C76"/>
    <w:rsid w:val="2E3710C8"/>
    <w:rsid w:val="2F5062FB"/>
    <w:rsid w:val="31B71A20"/>
    <w:rsid w:val="34D043B0"/>
    <w:rsid w:val="36325A3B"/>
    <w:rsid w:val="37155E93"/>
    <w:rsid w:val="37DA01BF"/>
    <w:rsid w:val="37DC1C36"/>
    <w:rsid w:val="380B275B"/>
    <w:rsid w:val="38A10892"/>
    <w:rsid w:val="3A3A64C0"/>
    <w:rsid w:val="3A5307A2"/>
    <w:rsid w:val="3B411A13"/>
    <w:rsid w:val="3D2768E1"/>
    <w:rsid w:val="3DBA03F6"/>
    <w:rsid w:val="3EC403D1"/>
    <w:rsid w:val="3EF65AA4"/>
    <w:rsid w:val="3F9271E0"/>
    <w:rsid w:val="40013BA3"/>
    <w:rsid w:val="40A01EEF"/>
    <w:rsid w:val="41CF53BC"/>
    <w:rsid w:val="42C458BB"/>
    <w:rsid w:val="42E211AE"/>
    <w:rsid w:val="4386536B"/>
    <w:rsid w:val="4440134B"/>
    <w:rsid w:val="44AE3186"/>
    <w:rsid w:val="46906FAC"/>
    <w:rsid w:val="47374AE8"/>
    <w:rsid w:val="49DE2FE3"/>
    <w:rsid w:val="4B8E4637"/>
    <w:rsid w:val="4C4F77DE"/>
    <w:rsid w:val="4D46580D"/>
    <w:rsid w:val="4DD604AD"/>
    <w:rsid w:val="4F653DB4"/>
    <w:rsid w:val="50C25FCB"/>
    <w:rsid w:val="52536DCB"/>
    <w:rsid w:val="52560EF8"/>
    <w:rsid w:val="525650B0"/>
    <w:rsid w:val="54271446"/>
    <w:rsid w:val="55806F34"/>
    <w:rsid w:val="55B6677E"/>
    <w:rsid w:val="578366FC"/>
    <w:rsid w:val="59B41CD8"/>
    <w:rsid w:val="5CD101B4"/>
    <w:rsid w:val="5E1C519B"/>
    <w:rsid w:val="5F2A4CCE"/>
    <w:rsid w:val="603A7C66"/>
    <w:rsid w:val="60CB03AD"/>
    <w:rsid w:val="632A0B81"/>
    <w:rsid w:val="63B1045F"/>
    <w:rsid w:val="64944F9D"/>
    <w:rsid w:val="64E60B40"/>
    <w:rsid w:val="65464608"/>
    <w:rsid w:val="65A1056A"/>
    <w:rsid w:val="65FE0677"/>
    <w:rsid w:val="665402BB"/>
    <w:rsid w:val="66841EC8"/>
    <w:rsid w:val="671F307F"/>
    <w:rsid w:val="67811FEA"/>
    <w:rsid w:val="678623BF"/>
    <w:rsid w:val="67D07AD5"/>
    <w:rsid w:val="68240228"/>
    <w:rsid w:val="6847596D"/>
    <w:rsid w:val="68560887"/>
    <w:rsid w:val="6A540A48"/>
    <w:rsid w:val="6BA56B48"/>
    <w:rsid w:val="6BB34C94"/>
    <w:rsid w:val="6BEB55CE"/>
    <w:rsid w:val="6C1C2F7E"/>
    <w:rsid w:val="6E58469B"/>
    <w:rsid w:val="6ECC09CC"/>
    <w:rsid w:val="703A62DA"/>
    <w:rsid w:val="70743DCF"/>
    <w:rsid w:val="72993A65"/>
    <w:rsid w:val="72BB1261"/>
    <w:rsid w:val="747F08ED"/>
    <w:rsid w:val="748D3A49"/>
    <w:rsid w:val="76A05354"/>
    <w:rsid w:val="7BAF79EF"/>
    <w:rsid w:val="7EF57569"/>
    <w:rsid w:val="7F1E7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6"/>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paragraph" w:styleId="7">
    <w:name w:val="annotation subject"/>
    <w:basedOn w:val="2"/>
    <w:next w:val="2"/>
    <w:link w:val="15"/>
    <w:qFormat/>
    <w:uiPriority w:val="0"/>
    <w:rPr>
      <w:b/>
      <w:bCs/>
    </w:r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sz w:val="18"/>
      <w:szCs w:val="18"/>
    </w:rPr>
  </w:style>
  <w:style w:type="character" w:customStyle="1" w:styleId="13">
    <w:name w:val="页脚 字符"/>
    <w:basedOn w:val="9"/>
    <w:link w:val="4"/>
    <w:qFormat/>
    <w:uiPriority w:val="0"/>
    <w:rPr>
      <w:sz w:val="18"/>
      <w:szCs w:val="18"/>
    </w:rPr>
  </w:style>
  <w:style w:type="character" w:customStyle="1" w:styleId="14">
    <w:name w:val="批注文字 字符"/>
    <w:basedOn w:val="9"/>
    <w:link w:val="2"/>
    <w:qFormat/>
    <w:uiPriority w:val="0"/>
    <w:rPr>
      <w:sz w:val="21"/>
      <w:szCs w:val="22"/>
    </w:rPr>
  </w:style>
  <w:style w:type="character" w:customStyle="1" w:styleId="15">
    <w:name w:val="批注主题 字符"/>
    <w:basedOn w:val="14"/>
    <w:link w:val="7"/>
    <w:qFormat/>
    <w:uiPriority w:val="0"/>
    <w:rPr>
      <w:b/>
      <w:bCs/>
      <w:sz w:val="21"/>
      <w:szCs w:val="22"/>
    </w:rPr>
  </w:style>
  <w:style w:type="character" w:customStyle="1" w:styleId="16">
    <w:name w:val="批注框文本 字符"/>
    <w:basedOn w:val="9"/>
    <w:link w:val="3"/>
    <w:qFormat/>
    <w:uiPriority w:val="0"/>
    <w:rPr>
      <w:sz w:val="18"/>
      <w:szCs w:val="18"/>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1992</Words>
  <Characters>11361</Characters>
  <Lines>94</Lines>
  <Paragraphs>26</Paragraphs>
  <TotalTime>70</TotalTime>
  <ScaleCrop>false</ScaleCrop>
  <LinksUpToDate>false</LinksUpToDate>
  <CharactersWithSpaces>13327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2020-03-19T01:26:00Z</dcterms:created>
  <dc:creator>Administrator</dc:creator>
  <cp:lastModifiedBy>鹤名九粥</cp:lastModifiedBy>
  <cp:lastPrinted>2020-04-15T06:39:00Z</cp:lastPrinted>
  <dcterms:modified xsi:type="dcterms:W3CDTF">2021-01-12T03:36:11Z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