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C4C" w:rsidRDefault="00FE4C4C">
      <w:pPr>
        <w:spacing w:line="1500" w:lineRule="exact"/>
        <w:rPr>
          <w:rStyle w:val="NormalCharacter"/>
          <w:rFonts w:ascii="宋体" w:hAnsi="宋体" w:cs="Times New Roman"/>
          <w:b/>
          <w:bCs/>
          <w:color w:val="000000" w:themeColor="text1"/>
          <w:sz w:val="72"/>
          <w:szCs w:val="72"/>
          <w:lang w:val="zh-CN"/>
        </w:rPr>
      </w:pPr>
    </w:p>
    <w:p w:rsidR="00FE4C4C" w:rsidRDefault="00FE4C4C">
      <w:pPr>
        <w:pStyle w:val="BodyText1I2"/>
        <w:rPr>
          <w:rStyle w:val="NormalCharacter"/>
          <w:color w:val="000000" w:themeColor="text1"/>
          <w:lang w:val="zh-CN"/>
        </w:rPr>
      </w:pPr>
    </w:p>
    <w:p w:rsidR="00FE4C4C" w:rsidRDefault="00F81DC4">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FE4C4C" w:rsidRDefault="00F81DC4">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FE4C4C" w:rsidRDefault="00FE4C4C">
      <w:pPr>
        <w:spacing w:line="500" w:lineRule="atLeast"/>
        <w:jc w:val="center"/>
        <w:rPr>
          <w:rStyle w:val="NormalCharacter"/>
          <w:rFonts w:ascii="宋体" w:hAnsi="宋体" w:cs="Times New Roman"/>
          <w:b/>
          <w:bCs/>
          <w:color w:val="000000" w:themeColor="text1"/>
          <w:sz w:val="36"/>
          <w:szCs w:val="36"/>
        </w:rPr>
      </w:pPr>
    </w:p>
    <w:p w:rsidR="00FE4C4C" w:rsidRDefault="00FE4C4C">
      <w:pPr>
        <w:spacing w:line="500" w:lineRule="atLeast"/>
        <w:rPr>
          <w:rStyle w:val="NormalCharacter"/>
          <w:rFonts w:ascii="宋体" w:hAnsi="宋体" w:cs="Times New Roman"/>
          <w:b/>
          <w:bCs/>
          <w:color w:val="000000" w:themeColor="text1"/>
          <w:sz w:val="36"/>
          <w:szCs w:val="36"/>
        </w:rPr>
      </w:pPr>
    </w:p>
    <w:p w:rsidR="00FE4C4C" w:rsidRDefault="00FE4C4C">
      <w:pPr>
        <w:spacing w:line="360" w:lineRule="auto"/>
        <w:jc w:val="left"/>
        <w:rPr>
          <w:rStyle w:val="NormalCharacter"/>
          <w:rFonts w:ascii="宋体" w:hAnsi="宋体" w:cs="Times New Roman"/>
          <w:b/>
          <w:bCs/>
          <w:color w:val="000000" w:themeColor="text1"/>
          <w:sz w:val="30"/>
          <w:szCs w:val="30"/>
          <w:lang w:val="zh-CN"/>
        </w:rPr>
      </w:pPr>
    </w:p>
    <w:p w:rsidR="00FE4C4C" w:rsidRDefault="00F81DC4" w:rsidP="004816AA">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Pr>
          <w:rStyle w:val="NormalCharacter"/>
          <w:rFonts w:ascii="宋体" w:hAnsi="宋体" w:cs="Times New Roman" w:hint="eastAsia"/>
          <w:b/>
          <w:bCs/>
          <w:color w:val="000000" w:themeColor="text1"/>
          <w:sz w:val="30"/>
          <w:szCs w:val="30"/>
          <w:lang w:val="zh-CN"/>
        </w:rPr>
        <w:t>FJGCWSJJ-FS-2022-12</w:t>
      </w:r>
      <w:r>
        <w:rPr>
          <w:rStyle w:val="NormalCharacter"/>
          <w:rFonts w:ascii="宋体" w:hAnsi="宋体" w:cs="Times New Roman" w:hint="eastAsia"/>
          <w:b/>
          <w:bCs/>
          <w:color w:val="000000" w:themeColor="text1"/>
          <w:sz w:val="30"/>
          <w:szCs w:val="30"/>
        </w:rPr>
        <w:t>9</w:t>
      </w:r>
    </w:p>
    <w:p w:rsidR="00FE4C4C" w:rsidRDefault="00F81DC4" w:rsidP="004816AA">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Pr>
          <w:rFonts w:ascii="宋体" w:hAnsi="宋体" w:cs="Times New Roman" w:hint="eastAsia"/>
          <w:b/>
          <w:bCs/>
          <w:color w:val="000000" w:themeColor="text1"/>
          <w:sz w:val="30"/>
          <w:szCs w:val="30"/>
        </w:rPr>
        <w:t>福州职业技术学院现代商贸素养训练实训室升级改造项目</w:t>
      </w:r>
    </w:p>
    <w:p w:rsidR="00FE4C4C" w:rsidRDefault="00FE4C4C">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FE4C4C" w:rsidRDefault="00FE4C4C">
      <w:pPr>
        <w:pStyle w:val="BodyText1I2"/>
        <w:spacing w:after="0"/>
        <w:ind w:leftChars="0" w:left="0" w:firstLine="0"/>
        <w:jc w:val="center"/>
        <w:rPr>
          <w:rStyle w:val="NormalCharacter"/>
          <w:rFonts w:ascii="宋体" w:hAnsi="宋体" w:cs="Times New Roman"/>
          <w:b/>
          <w:bCs/>
          <w:color w:val="000000" w:themeColor="text1"/>
          <w:sz w:val="30"/>
          <w:szCs w:val="30"/>
        </w:rPr>
      </w:pPr>
    </w:p>
    <w:p w:rsidR="00FE4C4C" w:rsidRDefault="00FE4C4C">
      <w:pPr>
        <w:pStyle w:val="BodyText1I2"/>
        <w:spacing w:after="0"/>
        <w:ind w:leftChars="0" w:left="0" w:firstLine="0"/>
        <w:jc w:val="center"/>
        <w:rPr>
          <w:rStyle w:val="NormalCharacter"/>
          <w:rFonts w:ascii="宋体" w:hAnsi="宋体" w:cs="Times New Roman"/>
          <w:b/>
          <w:bCs/>
          <w:color w:val="000000" w:themeColor="text1"/>
          <w:sz w:val="30"/>
          <w:szCs w:val="30"/>
        </w:rPr>
      </w:pPr>
    </w:p>
    <w:p w:rsidR="00FE4C4C" w:rsidRDefault="00F81DC4" w:rsidP="004816AA">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FE4C4C" w:rsidRDefault="00F81DC4" w:rsidP="004816AA">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FE4C4C" w:rsidRDefault="00F81DC4">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十二</w:t>
      </w:r>
      <w:r>
        <w:rPr>
          <w:rStyle w:val="NormalCharacter"/>
          <w:rFonts w:ascii="宋体" w:hAnsi="宋体" w:cs="Times New Roman"/>
          <w:b/>
          <w:bCs/>
          <w:color w:val="000000" w:themeColor="text1"/>
          <w:sz w:val="30"/>
          <w:szCs w:val="30"/>
        </w:rPr>
        <w:t>月</w:t>
      </w:r>
    </w:p>
    <w:p w:rsidR="00FE4C4C" w:rsidRDefault="00FE4C4C">
      <w:pPr>
        <w:spacing w:line="500" w:lineRule="exact"/>
        <w:jc w:val="center"/>
        <w:rPr>
          <w:rStyle w:val="NormalCharacter"/>
          <w:rFonts w:asciiTheme="majorEastAsia" w:eastAsiaTheme="majorEastAsia" w:hAnsiTheme="majorEastAsia"/>
          <w:b/>
          <w:color w:val="000000" w:themeColor="text1"/>
          <w:sz w:val="24"/>
          <w:u w:val="single"/>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81DC4">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FE4C4C" w:rsidRDefault="00F81DC4">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3</w:t>
      </w:r>
      <w:r>
        <w:rPr>
          <w:rFonts w:asciiTheme="majorEastAsia" w:eastAsiaTheme="majorEastAsia" w:hAnsiTheme="majorEastAsia"/>
          <w:color w:val="000000" w:themeColor="text1"/>
          <w:sz w:val="24"/>
        </w:rPr>
        <w:fldChar w:fldCharType="end"/>
      </w:r>
    </w:p>
    <w:p w:rsidR="00FE4C4C" w:rsidRDefault="00F81DC4">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7</w:t>
      </w:r>
      <w:r>
        <w:rPr>
          <w:rFonts w:asciiTheme="majorEastAsia" w:eastAsiaTheme="majorEastAsia" w:hAnsiTheme="majorEastAsia"/>
          <w:color w:val="000000" w:themeColor="text1"/>
          <w:sz w:val="24"/>
        </w:rPr>
        <w:fldChar w:fldCharType="end"/>
      </w:r>
    </w:p>
    <w:p w:rsidR="00FE4C4C" w:rsidRDefault="00F81DC4">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FE4C4C" w:rsidRDefault="00F81DC4">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FE4C4C" w:rsidRDefault="00F81DC4">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E4C4C" w:rsidP="004816AA">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FE4C4C" w:rsidRDefault="00F81DC4">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FE4C4C" w:rsidRDefault="00F81DC4">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福州职业技术学院现代商贸素养训练实训室升级改造项目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Pr>
          <w:rStyle w:val="NormalCharacter"/>
          <w:rFonts w:asciiTheme="majorEastAsia" w:eastAsiaTheme="majorEastAsia" w:hAnsiTheme="majorEastAsia" w:hint="eastAsia"/>
          <w:color w:val="000000" w:themeColor="text1"/>
          <w:kern w:val="0"/>
          <w:sz w:val="24"/>
        </w:rPr>
        <w:t>FJGCWSJJ-FS-2022-129</w:t>
      </w:r>
    </w:p>
    <w:p w:rsidR="00FE4C4C" w:rsidRDefault="00F81DC4">
      <w:pPr>
        <w:spacing w:line="500" w:lineRule="exact"/>
        <w:ind w:firstLineChars="200" w:firstLine="480"/>
        <w:jc w:val="left"/>
        <w:rPr>
          <w:rStyle w:val="NormalCharacter"/>
          <w:rFonts w:asciiTheme="majorEastAsia" w:eastAsiaTheme="majorEastAsia" w:hAnsiTheme="majorEastAsia" w:cs="Times New Roman"/>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cs="Times New Roman" w:hint="eastAsia"/>
          <w:color w:val="000000" w:themeColor="text1"/>
          <w:kern w:val="0"/>
          <w:sz w:val="24"/>
        </w:rPr>
        <w:t>：福州职业技术学院现代商贸素养训练实训室升级改造项目</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5B6E1C" w:rsidRPr="005B6E1C" w:rsidRDefault="005B6E1C" w:rsidP="005B6E1C">
      <w:pPr>
        <w:spacing w:line="500" w:lineRule="exact"/>
        <w:ind w:firstLineChars="200" w:firstLine="480"/>
        <w:rPr>
          <w:rFonts w:asciiTheme="majorEastAsia" w:eastAsiaTheme="majorEastAsia" w:hAnsiTheme="majorEastAsia" w:cs="宋体"/>
          <w:sz w:val="24"/>
        </w:rPr>
      </w:pPr>
      <w:r w:rsidRPr="005B6E1C">
        <w:rPr>
          <w:rFonts w:asciiTheme="majorEastAsia" w:eastAsiaTheme="majorEastAsia" w:hAnsiTheme="majorEastAsia" w:cs="宋体" w:hint="eastAsia"/>
          <w:sz w:val="24"/>
        </w:rPr>
        <w:t>公告起始时间：2022年12月09日17:00:00</w:t>
      </w:r>
    </w:p>
    <w:p w:rsidR="005B6E1C" w:rsidRPr="005B6E1C" w:rsidRDefault="005B6E1C" w:rsidP="005B6E1C">
      <w:pPr>
        <w:spacing w:line="500" w:lineRule="exact"/>
        <w:ind w:firstLineChars="200" w:firstLine="480"/>
        <w:rPr>
          <w:rFonts w:asciiTheme="majorEastAsia" w:eastAsiaTheme="majorEastAsia" w:hAnsiTheme="majorEastAsia" w:cs="宋体"/>
          <w:sz w:val="24"/>
        </w:rPr>
      </w:pPr>
      <w:r w:rsidRPr="005B6E1C">
        <w:rPr>
          <w:rFonts w:asciiTheme="majorEastAsia" w:eastAsiaTheme="majorEastAsia" w:hAnsiTheme="majorEastAsia" w:cs="宋体" w:hint="eastAsia"/>
          <w:sz w:val="24"/>
        </w:rPr>
        <w:t>公告截止时间：2022年12月1</w:t>
      </w:r>
      <w:r w:rsidR="003505A7">
        <w:rPr>
          <w:rFonts w:asciiTheme="majorEastAsia" w:eastAsiaTheme="majorEastAsia" w:hAnsiTheme="majorEastAsia" w:cs="宋体" w:hint="eastAsia"/>
          <w:sz w:val="24"/>
        </w:rPr>
        <w:t>4</w:t>
      </w:r>
      <w:r w:rsidRPr="005B6E1C">
        <w:rPr>
          <w:rFonts w:asciiTheme="majorEastAsia" w:eastAsiaTheme="majorEastAsia" w:hAnsiTheme="majorEastAsia" w:cs="宋体" w:hint="eastAsia"/>
          <w:sz w:val="24"/>
        </w:rPr>
        <w:t>日09:00:00</w:t>
      </w:r>
    </w:p>
    <w:p w:rsidR="005B6E1C" w:rsidRPr="005B6E1C" w:rsidRDefault="005B6E1C" w:rsidP="005B6E1C">
      <w:pPr>
        <w:spacing w:line="500" w:lineRule="exact"/>
        <w:ind w:firstLineChars="200" w:firstLine="480"/>
        <w:rPr>
          <w:rFonts w:asciiTheme="majorEastAsia" w:eastAsiaTheme="majorEastAsia" w:hAnsiTheme="majorEastAsia" w:cs="宋体"/>
          <w:sz w:val="24"/>
        </w:rPr>
      </w:pPr>
      <w:r w:rsidRPr="005B6E1C">
        <w:rPr>
          <w:rFonts w:asciiTheme="majorEastAsia" w:eastAsiaTheme="majorEastAsia" w:hAnsiTheme="majorEastAsia" w:cs="宋体" w:hint="eastAsia"/>
          <w:sz w:val="24"/>
        </w:rPr>
        <w:t>报名截止时间：2022年12月1</w:t>
      </w:r>
      <w:r w:rsidR="003505A7">
        <w:rPr>
          <w:rFonts w:asciiTheme="majorEastAsia" w:eastAsiaTheme="majorEastAsia" w:hAnsiTheme="majorEastAsia" w:cs="宋体" w:hint="eastAsia"/>
          <w:sz w:val="24"/>
        </w:rPr>
        <w:t>3</w:t>
      </w:r>
      <w:r w:rsidRPr="005B6E1C">
        <w:rPr>
          <w:rFonts w:asciiTheme="majorEastAsia" w:eastAsiaTheme="majorEastAsia" w:hAnsiTheme="majorEastAsia" w:cs="宋体" w:hint="eastAsia"/>
          <w:sz w:val="24"/>
        </w:rPr>
        <w:t>日17:00:00</w:t>
      </w:r>
    </w:p>
    <w:p w:rsidR="005B6E1C" w:rsidRPr="005B6E1C" w:rsidRDefault="005B6E1C" w:rsidP="005B6E1C">
      <w:pPr>
        <w:spacing w:line="500" w:lineRule="exact"/>
        <w:ind w:firstLineChars="200" w:firstLine="480"/>
        <w:rPr>
          <w:rFonts w:asciiTheme="majorEastAsia" w:eastAsiaTheme="majorEastAsia" w:hAnsiTheme="majorEastAsia" w:cs="宋体"/>
          <w:sz w:val="24"/>
        </w:rPr>
      </w:pPr>
      <w:r w:rsidRPr="005B6E1C">
        <w:rPr>
          <w:rFonts w:asciiTheme="majorEastAsia" w:eastAsiaTheme="majorEastAsia" w:hAnsiTheme="majorEastAsia" w:cs="宋体" w:hint="eastAsia"/>
          <w:sz w:val="24"/>
        </w:rPr>
        <w:t>投标起始时间：2022年12月1</w:t>
      </w:r>
      <w:r w:rsidR="003505A7">
        <w:rPr>
          <w:rFonts w:asciiTheme="majorEastAsia" w:eastAsiaTheme="majorEastAsia" w:hAnsiTheme="majorEastAsia" w:cs="宋体" w:hint="eastAsia"/>
          <w:sz w:val="24"/>
        </w:rPr>
        <w:t>4</w:t>
      </w:r>
      <w:r w:rsidRPr="005B6E1C">
        <w:rPr>
          <w:rFonts w:asciiTheme="majorEastAsia" w:eastAsiaTheme="majorEastAsia" w:hAnsiTheme="majorEastAsia" w:cs="宋体" w:hint="eastAsia"/>
          <w:sz w:val="24"/>
        </w:rPr>
        <w:t>日09:00:00</w:t>
      </w:r>
    </w:p>
    <w:p w:rsidR="00FE4C4C" w:rsidRDefault="005B6E1C" w:rsidP="005B6E1C">
      <w:pPr>
        <w:spacing w:line="500" w:lineRule="exact"/>
        <w:ind w:firstLineChars="200" w:firstLine="480"/>
        <w:rPr>
          <w:rFonts w:asciiTheme="majorEastAsia" w:eastAsiaTheme="majorEastAsia" w:hAnsiTheme="majorEastAsia" w:cs="宋体"/>
          <w:sz w:val="24"/>
        </w:rPr>
      </w:pPr>
      <w:r w:rsidRPr="005B6E1C">
        <w:rPr>
          <w:rFonts w:asciiTheme="majorEastAsia" w:eastAsiaTheme="majorEastAsia" w:hAnsiTheme="majorEastAsia" w:cs="宋体" w:hint="eastAsia"/>
          <w:sz w:val="24"/>
        </w:rPr>
        <w:t>投标截止时间：2022年12月1</w:t>
      </w:r>
      <w:r w:rsidR="003505A7">
        <w:rPr>
          <w:rFonts w:asciiTheme="majorEastAsia" w:eastAsiaTheme="majorEastAsia" w:hAnsiTheme="majorEastAsia" w:cs="宋体" w:hint="eastAsia"/>
          <w:sz w:val="24"/>
        </w:rPr>
        <w:t>4</w:t>
      </w:r>
      <w:r w:rsidRPr="005B6E1C">
        <w:rPr>
          <w:rFonts w:asciiTheme="majorEastAsia" w:eastAsiaTheme="majorEastAsia" w:hAnsiTheme="majorEastAsia" w:cs="宋体" w:hint="eastAsia"/>
          <w:sz w:val="24"/>
        </w:rPr>
        <w:t>日11:00:00</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FE4C4C" w:rsidRDefault="00F81DC4">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FE4C4C" w:rsidRPr="004816AA" w:rsidRDefault="00F81DC4">
      <w:pPr>
        <w:spacing w:line="500" w:lineRule="exact"/>
        <w:ind w:firstLineChars="200" w:firstLine="480"/>
        <w:rPr>
          <w:rStyle w:val="NormalCharacter"/>
          <w:rFonts w:asciiTheme="majorEastAsia" w:eastAsiaTheme="majorEastAsia" w:hAnsiTheme="majorEastAsia"/>
          <w:sz w:val="24"/>
        </w:rPr>
      </w:pPr>
      <w:r w:rsidRPr="004816AA">
        <w:rPr>
          <w:rStyle w:val="NormalCharacter"/>
          <w:rFonts w:asciiTheme="majorEastAsia" w:eastAsiaTheme="majorEastAsia" w:hAnsiTheme="majorEastAsia"/>
          <w:sz w:val="24"/>
        </w:rPr>
        <w:t>联系人及电话：</w:t>
      </w:r>
      <w:r w:rsidRPr="004816AA">
        <w:rPr>
          <w:rStyle w:val="af4"/>
          <w:rFonts w:asciiTheme="majorEastAsia" w:eastAsiaTheme="majorEastAsia" w:hAnsiTheme="majorEastAsia" w:hint="eastAsia"/>
          <w:sz w:val="24"/>
          <w:szCs w:val="24"/>
        </w:rPr>
        <w:t>陈将</w:t>
      </w:r>
      <w:r w:rsidR="004816AA">
        <w:rPr>
          <w:rStyle w:val="af4"/>
          <w:rFonts w:asciiTheme="majorEastAsia" w:eastAsiaTheme="majorEastAsia" w:hAnsiTheme="majorEastAsia" w:hint="eastAsia"/>
          <w:sz w:val="24"/>
          <w:szCs w:val="24"/>
        </w:rPr>
        <w:t>/</w:t>
      </w:r>
      <w:r w:rsidRPr="004816AA">
        <w:rPr>
          <w:rStyle w:val="af4"/>
          <w:rFonts w:asciiTheme="majorEastAsia" w:eastAsiaTheme="majorEastAsia" w:hAnsiTheme="majorEastAsia" w:hint="eastAsia"/>
          <w:sz w:val="24"/>
          <w:szCs w:val="24"/>
        </w:rPr>
        <w:t>18059125219</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    </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0591-83393306、07</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FE4C4C" w:rsidRDefault="00F81DC4">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FE4C4C" w:rsidRDefault="00F81DC4">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FE4C4C" w:rsidRDefault="00F81DC4">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r>
        <w:rPr>
          <w:rStyle w:val="NormalCharacter"/>
          <w:rFonts w:asciiTheme="majorEastAsia" w:eastAsiaTheme="majorEastAsia" w:hAnsiTheme="majorEastAsia" w:hint="eastAsia"/>
          <w:color w:val="000000" w:themeColor="text1"/>
          <w:sz w:val="24"/>
        </w:rPr>
        <w:t>。</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FE4C4C" w:rsidRDefault="00F81DC4">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FE4C4C" w:rsidRDefault="00F81DC4" w:rsidP="004816AA">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w:t>
      </w:r>
      <w:r>
        <w:rPr>
          <w:rStyle w:val="NormalCharacter"/>
          <w:rFonts w:asciiTheme="majorEastAsia" w:eastAsiaTheme="majorEastAsia" w:hAnsiTheme="majorEastAsia"/>
          <w:color w:val="000000" w:themeColor="text1"/>
          <w:kern w:val="0"/>
          <w:sz w:val="24"/>
        </w:rPr>
        <w:lastRenderedPageBreak/>
        <w:t>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FE4C4C" w:rsidRDefault="00F81DC4" w:rsidP="004816AA">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FE4C4C" w:rsidRDefault="00F81DC4">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FE4C4C" w:rsidRDefault="00F81DC4">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FE4C4C" w:rsidRDefault="00F81DC4">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报名的潜在竞价供应商</w:t>
      </w:r>
      <w:r w:rsidRPr="005B6E1C">
        <w:rPr>
          <w:rFonts w:asciiTheme="majorEastAsia" w:eastAsiaTheme="majorEastAsia" w:hAnsiTheme="majorEastAsia" w:hint="eastAsia"/>
        </w:rPr>
        <w:t>，须于[</w:t>
      </w:r>
      <w:r w:rsidRPr="005B6E1C">
        <w:rPr>
          <w:rFonts w:asciiTheme="majorEastAsia" w:eastAsiaTheme="majorEastAsia" w:hAnsiTheme="majorEastAsia" w:cs="宋体" w:hint="eastAsia"/>
        </w:rPr>
        <w:t>2022年12月</w:t>
      </w:r>
      <w:r w:rsidR="005B6E1C" w:rsidRPr="005B6E1C">
        <w:rPr>
          <w:rFonts w:asciiTheme="majorEastAsia" w:eastAsiaTheme="majorEastAsia" w:hAnsiTheme="majorEastAsia" w:cs="宋体" w:hint="eastAsia"/>
        </w:rPr>
        <w:t>09</w:t>
      </w:r>
      <w:r w:rsidRPr="005B6E1C">
        <w:rPr>
          <w:rFonts w:asciiTheme="majorEastAsia" w:eastAsiaTheme="majorEastAsia" w:hAnsiTheme="majorEastAsia" w:cs="宋体" w:hint="eastAsia"/>
        </w:rPr>
        <w:t>日</w:t>
      </w:r>
      <w:r w:rsidRPr="005B6E1C">
        <w:rPr>
          <w:rFonts w:asciiTheme="majorEastAsia" w:eastAsiaTheme="majorEastAsia" w:hAnsiTheme="majorEastAsia" w:hint="eastAsia"/>
        </w:rPr>
        <w:t>至</w:t>
      </w:r>
      <w:r w:rsidRPr="005B6E1C">
        <w:rPr>
          <w:rFonts w:asciiTheme="majorEastAsia" w:eastAsiaTheme="majorEastAsia" w:hAnsiTheme="majorEastAsia" w:cs="宋体" w:hint="eastAsia"/>
        </w:rPr>
        <w:t>2022年12月</w:t>
      </w:r>
      <w:r w:rsidR="005B6E1C" w:rsidRPr="005B6E1C">
        <w:rPr>
          <w:rFonts w:asciiTheme="majorEastAsia" w:eastAsiaTheme="majorEastAsia" w:hAnsiTheme="majorEastAsia" w:cs="宋体" w:hint="eastAsia"/>
        </w:rPr>
        <w:t>1</w:t>
      </w:r>
      <w:r w:rsidR="003505A7">
        <w:rPr>
          <w:rFonts w:asciiTheme="majorEastAsia" w:eastAsiaTheme="majorEastAsia" w:hAnsiTheme="majorEastAsia" w:cs="宋体" w:hint="eastAsia"/>
        </w:rPr>
        <w:t>3</w:t>
      </w:r>
      <w:bookmarkStart w:id="1" w:name="_GoBack"/>
      <w:bookmarkEnd w:id="1"/>
      <w:r w:rsidRPr="005B6E1C">
        <w:rPr>
          <w:rFonts w:asciiTheme="majorEastAsia" w:eastAsiaTheme="majorEastAsia" w:hAnsiTheme="majorEastAsia" w:cs="宋体" w:hint="eastAsia"/>
        </w:rPr>
        <w:t>日</w:t>
      </w:r>
      <w:r w:rsidRPr="005B6E1C">
        <w:rPr>
          <w:rFonts w:asciiTheme="majorEastAsia" w:eastAsiaTheme="majorEastAsia" w:hAnsiTheme="majorEastAsia" w:hint="eastAsia"/>
        </w:rPr>
        <w:t>]</w:t>
      </w:r>
      <w:r w:rsidRPr="005B6E1C">
        <w:rPr>
          <w:rStyle w:val="NormalCharacter"/>
          <w:rFonts w:asciiTheme="majorEastAsia" w:eastAsiaTheme="majorEastAsia" w:hAnsiTheme="majorEastAsia"/>
        </w:rPr>
        <w:t>，</w:t>
      </w:r>
      <w:r>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FE4C4C" w:rsidRDefault="00F81DC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FE4C4C" w:rsidRDefault="00F81DC4">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12.质疑：</w:t>
      </w:r>
    </w:p>
    <w:p w:rsidR="00FE4C4C" w:rsidRDefault="00F81DC4">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FE4C4C" w:rsidRDefault="00F81DC4">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FE4C4C" w:rsidRDefault="00F81DC4">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FE4C4C" w:rsidRDefault="00F81DC4">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FE4C4C" w:rsidRDefault="00F81DC4">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FE4C4C" w:rsidRDefault="00F81DC4">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FE4C4C" w:rsidRDefault="00F81DC4" w:rsidP="004816AA">
      <w:pPr>
        <w:snapToGrid w:val="0"/>
        <w:spacing w:line="500" w:lineRule="exact"/>
        <w:ind w:firstLineChars="147" w:firstLine="354"/>
        <w:outlineLvl w:val="0"/>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b/>
          <w:color w:val="000000" w:themeColor="text1"/>
          <w:sz w:val="24"/>
        </w:rPr>
        <w:t>一、</w:t>
      </w:r>
      <w:r>
        <w:rPr>
          <w:rFonts w:asciiTheme="majorEastAsia" w:eastAsiaTheme="majorEastAsia" w:hAnsiTheme="majorEastAsia" w:cs="宋体" w:hint="eastAsia"/>
          <w:b/>
          <w:bCs/>
          <w:color w:val="000000"/>
          <w:kern w:val="0"/>
          <w:sz w:val="24"/>
        </w:rPr>
        <w:t>采购需求：</w:t>
      </w:r>
    </w:p>
    <w:p w:rsidR="00FE4C4C" w:rsidRDefault="00F81DC4">
      <w:pPr>
        <w:spacing w:line="520" w:lineRule="exact"/>
        <w:ind w:firstLineChars="200" w:firstLine="480"/>
        <w:rPr>
          <w:rFonts w:ascii="宋体" w:hAnsi="宋体"/>
          <w:sz w:val="24"/>
        </w:rPr>
      </w:pPr>
      <w:r>
        <w:rPr>
          <w:rFonts w:ascii="宋体" w:hAnsi="宋体" w:hint="eastAsia"/>
          <w:sz w:val="24"/>
        </w:rPr>
        <w:t>采购人现代商贸素养训练实训室（二）（2#419）、现代商贸素养训练实训室（三）（2#421）于2013年6月-2014年9月建设启用，线路老化，影响教学使用，存在安全隐患。为保障教学使用和安全，拟对实训室进行综合布线，预算金额为48800元。</w:t>
      </w:r>
    </w:p>
    <w:p w:rsidR="00FE4C4C" w:rsidRDefault="00F81DC4">
      <w:pPr>
        <w:spacing w:line="520" w:lineRule="exact"/>
        <w:rPr>
          <w:rFonts w:ascii="宋体" w:hAnsi="宋体"/>
          <w:b/>
          <w:bCs/>
          <w:sz w:val="24"/>
        </w:rPr>
      </w:pPr>
      <w:r>
        <w:rPr>
          <w:rFonts w:ascii="宋体" w:hAnsi="宋体" w:hint="eastAsia"/>
          <w:b/>
          <w:bCs/>
          <w:sz w:val="24"/>
        </w:rPr>
        <w:t>（1）位置:</w:t>
      </w:r>
    </w:p>
    <w:tbl>
      <w:tblPr>
        <w:tblStyle w:val="af"/>
        <w:tblW w:w="0" w:type="auto"/>
        <w:tblInd w:w="420" w:type="dxa"/>
        <w:tblLook w:val="04A0" w:firstRow="1" w:lastRow="0" w:firstColumn="1" w:lastColumn="0" w:noHBand="0" w:noVBand="1"/>
      </w:tblPr>
      <w:tblGrid>
        <w:gridCol w:w="3069"/>
        <w:gridCol w:w="3069"/>
        <w:gridCol w:w="3070"/>
      </w:tblGrid>
      <w:tr w:rsidR="00FE4C4C">
        <w:tc>
          <w:tcPr>
            <w:tcW w:w="3069" w:type="dxa"/>
          </w:tcPr>
          <w:p w:rsidR="00FE4C4C" w:rsidRDefault="00F81DC4">
            <w:pPr>
              <w:spacing w:line="360" w:lineRule="auto"/>
              <w:jc w:val="center"/>
              <w:rPr>
                <w:rFonts w:asciiTheme="minorEastAsia" w:hAnsiTheme="minorEastAsia"/>
                <w:sz w:val="24"/>
              </w:rPr>
            </w:pPr>
            <w:r>
              <w:rPr>
                <w:rFonts w:asciiTheme="minorEastAsia" w:hAnsiTheme="minorEastAsia" w:hint="eastAsia"/>
                <w:sz w:val="24"/>
              </w:rPr>
              <w:t>教室</w:t>
            </w:r>
          </w:p>
        </w:tc>
        <w:tc>
          <w:tcPr>
            <w:tcW w:w="3069" w:type="dxa"/>
          </w:tcPr>
          <w:p w:rsidR="00FE4C4C" w:rsidRDefault="00F81DC4">
            <w:pPr>
              <w:spacing w:line="360" w:lineRule="auto"/>
              <w:jc w:val="center"/>
              <w:rPr>
                <w:rFonts w:asciiTheme="minorEastAsia" w:hAnsiTheme="minorEastAsia"/>
                <w:sz w:val="24"/>
              </w:rPr>
            </w:pPr>
            <w:r>
              <w:rPr>
                <w:rFonts w:asciiTheme="minorEastAsia" w:hAnsiTheme="minorEastAsia" w:hint="eastAsia"/>
                <w:sz w:val="24"/>
              </w:rPr>
              <w:t>设计思路</w:t>
            </w:r>
          </w:p>
        </w:tc>
        <w:tc>
          <w:tcPr>
            <w:tcW w:w="3070" w:type="dxa"/>
          </w:tcPr>
          <w:p w:rsidR="00FE4C4C" w:rsidRDefault="00F81DC4">
            <w:pPr>
              <w:spacing w:line="360" w:lineRule="auto"/>
              <w:jc w:val="center"/>
              <w:rPr>
                <w:rFonts w:asciiTheme="minorEastAsia" w:hAnsiTheme="minorEastAsia"/>
                <w:sz w:val="24"/>
              </w:rPr>
            </w:pPr>
            <w:r>
              <w:rPr>
                <w:rFonts w:asciiTheme="minorEastAsia" w:hAnsiTheme="minorEastAsia" w:hint="eastAsia"/>
                <w:sz w:val="24"/>
              </w:rPr>
              <w:t>新增设备</w:t>
            </w:r>
          </w:p>
        </w:tc>
      </w:tr>
      <w:tr w:rsidR="00FE4C4C">
        <w:tc>
          <w:tcPr>
            <w:tcW w:w="3069" w:type="dxa"/>
          </w:tcPr>
          <w:p w:rsidR="00FE4C4C" w:rsidRDefault="00F81DC4">
            <w:pPr>
              <w:spacing w:line="360" w:lineRule="auto"/>
              <w:jc w:val="center"/>
              <w:rPr>
                <w:rFonts w:asciiTheme="minorEastAsia" w:eastAsiaTheme="minorEastAsia" w:hAnsiTheme="minorEastAsia"/>
                <w:sz w:val="24"/>
              </w:rPr>
            </w:pPr>
            <w:r>
              <w:rPr>
                <w:rFonts w:asciiTheme="minorEastAsia" w:hAnsiTheme="minorEastAsia"/>
                <w:sz w:val="24"/>
              </w:rPr>
              <w:t>2</w:t>
            </w:r>
            <w:r>
              <w:rPr>
                <w:rFonts w:asciiTheme="minorEastAsia" w:hAnsiTheme="minorEastAsia" w:hint="eastAsia"/>
                <w:sz w:val="24"/>
              </w:rPr>
              <w:t>号楼419、421</w:t>
            </w:r>
          </w:p>
        </w:tc>
        <w:tc>
          <w:tcPr>
            <w:tcW w:w="3069" w:type="dxa"/>
          </w:tcPr>
          <w:p w:rsidR="00FE4C4C" w:rsidRDefault="00F81DC4">
            <w:pPr>
              <w:spacing w:line="360" w:lineRule="auto"/>
              <w:jc w:val="center"/>
              <w:rPr>
                <w:rFonts w:asciiTheme="minorEastAsia" w:hAnsiTheme="minorEastAsia"/>
                <w:sz w:val="24"/>
              </w:rPr>
            </w:pPr>
            <w:r>
              <w:rPr>
                <w:rFonts w:asciiTheme="minorEastAsia" w:hAnsiTheme="minorEastAsia" w:hint="eastAsia"/>
                <w:sz w:val="24"/>
              </w:rPr>
              <w:t>升级改造</w:t>
            </w:r>
          </w:p>
        </w:tc>
        <w:tc>
          <w:tcPr>
            <w:tcW w:w="3070" w:type="dxa"/>
          </w:tcPr>
          <w:p w:rsidR="00FE4C4C" w:rsidRDefault="00F81DC4">
            <w:pPr>
              <w:spacing w:line="360" w:lineRule="auto"/>
              <w:jc w:val="center"/>
              <w:rPr>
                <w:rFonts w:asciiTheme="minorEastAsia" w:hAnsiTheme="minorEastAsia"/>
                <w:sz w:val="24"/>
              </w:rPr>
            </w:pPr>
            <w:r>
              <w:rPr>
                <w:rFonts w:asciiTheme="minorEastAsia" w:hAnsiTheme="minorEastAsia" w:hint="eastAsia"/>
                <w:sz w:val="24"/>
              </w:rPr>
              <w:t>综合布线</w:t>
            </w:r>
          </w:p>
        </w:tc>
      </w:tr>
    </w:tbl>
    <w:p w:rsidR="00FE4C4C" w:rsidRDefault="00F81DC4">
      <w:pPr>
        <w:spacing w:line="520" w:lineRule="exact"/>
        <w:rPr>
          <w:rFonts w:ascii="宋体" w:hAnsi="宋体"/>
          <w:b/>
          <w:bCs/>
          <w:sz w:val="24"/>
        </w:rPr>
      </w:pPr>
      <w:r>
        <w:rPr>
          <w:rFonts w:ascii="宋体" w:hAnsi="宋体" w:hint="eastAsia"/>
          <w:b/>
          <w:bCs/>
          <w:sz w:val="24"/>
        </w:rPr>
        <w:t>(2)设备需求清单：</w:t>
      </w:r>
      <w:r>
        <w:rPr>
          <w:rFonts w:ascii="宋体" w:hAnsi="宋体"/>
          <w:b/>
          <w:bCs/>
          <w:sz w:val="24"/>
        </w:rPr>
        <w:t xml:space="preserve"> </w:t>
      </w:r>
    </w:p>
    <w:tbl>
      <w:tblPr>
        <w:tblStyle w:val="af"/>
        <w:tblW w:w="9205" w:type="dxa"/>
        <w:tblInd w:w="420" w:type="dxa"/>
        <w:tblLook w:val="04A0" w:firstRow="1" w:lastRow="0" w:firstColumn="1" w:lastColumn="0" w:noHBand="0" w:noVBand="1"/>
      </w:tblPr>
      <w:tblGrid>
        <w:gridCol w:w="1315"/>
        <w:gridCol w:w="1315"/>
        <w:gridCol w:w="1315"/>
        <w:gridCol w:w="1315"/>
        <w:gridCol w:w="1315"/>
        <w:gridCol w:w="1315"/>
        <w:gridCol w:w="1315"/>
      </w:tblGrid>
      <w:tr w:rsidR="00FE4C4C">
        <w:tc>
          <w:tcPr>
            <w:tcW w:w="1315" w:type="dxa"/>
            <w:vAlign w:val="center"/>
          </w:tcPr>
          <w:p w:rsidR="00FE4C4C" w:rsidRDefault="00F81DC4">
            <w:pPr>
              <w:jc w:val="center"/>
              <w:rPr>
                <w:rFonts w:ascii="宋体" w:hAnsi="宋体" w:cs="宋体"/>
                <w:kern w:val="0"/>
                <w:sz w:val="24"/>
              </w:rPr>
            </w:pPr>
            <w:r>
              <w:rPr>
                <w:rFonts w:ascii="宋体" w:hAnsi="宋体" w:cs="宋体" w:hint="eastAsia"/>
                <w:kern w:val="0"/>
                <w:sz w:val="24"/>
              </w:rPr>
              <w:t>序号</w:t>
            </w:r>
          </w:p>
        </w:tc>
        <w:tc>
          <w:tcPr>
            <w:tcW w:w="1315" w:type="dxa"/>
            <w:vAlign w:val="center"/>
          </w:tcPr>
          <w:p w:rsidR="00FE4C4C" w:rsidRDefault="00F81DC4">
            <w:pPr>
              <w:jc w:val="center"/>
              <w:rPr>
                <w:rFonts w:ascii="宋体" w:hAnsi="宋体" w:cs="宋体"/>
                <w:kern w:val="0"/>
                <w:sz w:val="24"/>
              </w:rPr>
            </w:pPr>
            <w:r>
              <w:rPr>
                <w:rFonts w:ascii="宋体" w:hAnsi="宋体" w:cs="宋体" w:hint="eastAsia"/>
                <w:kern w:val="0"/>
                <w:sz w:val="24"/>
              </w:rPr>
              <w:t>品目</w:t>
            </w:r>
          </w:p>
          <w:p w:rsidR="00FE4C4C" w:rsidRDefault="00F81DC4">
            <w:pPr>
              <w:jc w:val="center"/>
              <w:rPr>
                <w:rFonts w:ascii="宋体" w:hAnsi="宋体" w:cs="宋体"/>
                <w:kern w:val="0"/>
                <w:sz w:val="24"/>
              </w:rPr>
            </w:pPr>
            <w:r>
              <w:rPr>
                <w:rFonts w:ascii="宋体" w:hAnsi="宋体" w:cs="宋体" w:hint="eastAsia"/>
                <w:kern w:val="0"/>
                <w:sz w:val="24"/>
              </w:rPr>
              <w:t>名称</w:t>
            </w:r>
          </w:p>
        </w:tc>
        <w:tc>
          <w:tcPr>
            <w:tcW w:w="1315" w:type="dxa"/>
            <w:vAlign w:val="center"/>
          </w:tcPr>
          <w:p w:rsidR="00FE4C4C" w:rsidRDefault="00F81DC4">
            <w:pPr>
              <w:jc w:val="center"/>
              <w:rPr>
                <w:rFonts w:ascii="宋体" w:hAnsi="宋体" w:cs="宋体"/>
                <w:kern w:val="0"/>
                <w:sz w:val="24"/>
              </w:rPr>
            </w:pPr>
            <w:r>
              <w:rPr>
                <w:rFonts w:ascii="宋体" w:hAnsi="宋体" w:cs="宋体" w:hint="eastAsia"/>
                <w:kern w:val="0"/>
                <w:sz w:val="24"/>
              </w:rPr>
              <w:t>设备</w:t>
            </w:r>
          </w:p>
        </w:tc>
        <w:tc>
          <w:tcPr>
            <w:tcW w:w="1315" w:type="dxa"/>
            <w:vAlign w:val="center"/>
          </w:tcPr>
          <w:p w:rsidR="00FE4C4C" w:rsidRDefault="00F81DC4">
            <w:pPr>
              <w:jc w:val="center"/>
              <w:rPr>
                <w:rFonts w:ascii="宋体" w:hAnsi="宋体" w:cs="宋体"/>
                <w:kern w:val="0"/>
                <w:sz w:val="24"/>
              </w:rPr>
            </w:pPr>
            <w:r>
              <w:rPr>
                <w:rFonts w:ascii="宋体" w:hAnsi="宋体" w:cs="宋体" w:hint="eastAsia"/>
                <w:kern w:val="0"/>
                <w:sz w:val="24"/>
              </w:rPr>
              <w:t>用途</w:t>
            </w:r>
          </w:p>
        </w:tc>
        <w:tc>
          <w:tcPr>
            <w:tcW w:w="1315" w:type="dxa"/>
            <w:vAlign w:val="center"/>
          </w:tcPr>
          <w:p w:rsidR="00FE4C4C" w:rsidRDefault="00F81DC4">
            <w:pPr>
              <w:jc w:val="center"/>
              <w:rPr>
                <w:rFonts w:ascii="宋体" w:hAnsi="宋体" w:cs="宋体"/>
                <w:kern w:val="0"/>
                <w:sz w:val="24"/>
              </w:rPr>
            </w:pPr>
            <w:r>
              <w:rPr>
                <w:rFonts w:ascii="宋体" w:hAnsi="宋体" w:cs="宋体" w:hint="eastAsia"/>
                <w:kern w:val="0"/>
                <w:sz w:val="24"/>
              </w:rPr>
              <w:t>数量</w:t>
            </w:r>
          </w:p>
        </w:tc>
        <w:tc>
          <w:tcPr>
            <w:tcW w:w="1315" w:type="dxa"/>
            <w:vAlign w:val="center"/>
          </w:tcPr>
          <w:p w:rsidR="00FE4C4C" w:rsidRDefault="00F81DC4">
            <w:pPr>
              <w:jc w:val="center"/>
              <w:rPr>
                <w:rFonts w:ascii="宋体" w:hAnsi="宋体" w:cs="宋体"/>
                <w:kern w:val="0"/>
                <w:sz w:val="24"/>
              </w:rPr>
            </w:pPr>
            <w:r>
              <w:rPr>
                <w:rFonts w:ascii="宋体" w:hAnsi="宋体" w:cs="宋体" w:hint="eastAsia"/>
                <w:kern w:val="0"/>
                <w:sz w:val="24"/>
              </w:rPr>
              <w:t>单价（元）</w:t>
            </w:r>
          </w:p>
        </w:tc>
        <w:tc>
          <w:tcPr>
            <w:tcW w:w="1315" w:type="dxa"/>
            <w:vAlign w:val="center"/>
          </w:tcPr>
          <w:p w:rsidR="00FE4C4C" w:rsidRDefault="00F81DC4">
            <w:pPr>
              <w:jc w:val="center"/>
              <w:rPr>
                <w:rFonts w:ascii="宋体" w:hAnsi="宋体" w:cs="宋体"/>
                <w:kern w:val="0"/>
                <w:sz w:val="24"/>
              </w:rPr>
            </w:pPr>
            <w:r>
              <w:rPr>
                <w:rFonts w:ascii="宋体" w:hAnsi="宋体" w:cs="宋体" w:hint="eastAsia"/>
                <w:kern w:val="0"/>
                <w:sz w:val="24"/>
              </w:rPr>
              <w:t>总价（元）</w:t>
            </w:r>
          </w:p>
        </w:tc>
      </w:tr>
      <w:tr w:rsidR="00FE4C4C">
        <w:tc>
          <w:tcPr>
            <w:tcW w:w="1315" w:type="dxa"/>
            <w:vAlign w:val="center"/>
          </w:tcPr>
          <w:p w:rsidR="00FE4C4C" w:rsidRDefault="00F81DC4">
            <w:pPr>
              <w:jc w:val="center"/>
              <w:rPr>
                <w:rFonts w:ascii="宋体" w:hAnsi="宋体" w:cs="宋体"/>
                <w:kern w:val="0"/>
                <w:sz w:val="24"/>
              </w:rPr>
            </w:pPr>
            <w:r>
              <w:rPr>
                <w:rFonts w:ascii="宋体" w:hAnsi="宋体" w:cs="宋体"/>
                <w:kern w:val="0"/>
                <w:sz w:val="24"/>
              </w:rPr>
              <w:t>1</w:t>
            </w:r>
          </w:p>
        </w:tc>
        <w:tc>
          <w:tcPr>
            <w:tcW w:w="1315" w:type="dxa"/>
            <w:vAlign w:val="center"/>
          </w:tcPr>
          <w:p w:rsidR="00FE4C4C" w:rsidRDefault="00F81DC4">
            <w:pPr>
              <w:jc w:val="center"/>
              <w:rPr>
                <w:rFonts w:ascii="宋体" w:hAnsi="宋体" w:cs="宋体"/>
                <w:kern w:val="0"/>
                <w:sz w:val="24"/>
              </w:rPr>
            </w:pPr>
            <w:r>
              <w:rPr>
                <w:rFonts w:hint="eastAsia"/>
                <w:sz w:val="24"/>
              </w:rPr>
              <w:t>综合布线</w:t>
            </w:r>
          </w:p>
        </w:tc>
        <w:tc>
          <w:tcPr>
            <w:tcW w:w="1315" w:type="dxa"/>
            <w:vAlign w:val="center"/>
          </w:tcPr>
          <w:p w:rsidR="00FE4C4C" w:rsidRDefault="00F81DC4">
            <w:pPr>
              <w:jc w:val="center"/>
              <w:rPr>
                <w:rFonts w:ascii="宋体" w:hAnsi="宋体" w:cs="宋体"/>
                <w:kern w:val="0"/>
                <w:sz w:val="24"/>
              </w:rPr>
            </w:pPr>
            <w:r>
              <w:rPr>
                <w:rFonts w:hint="eastAsia"/>
                <w:sz w:val="24"/>
              </w:rPr>
              <w:t>综合布线</w:t>
            </w:r>
          </w:p>
        </w:tc>
        <w:tc>
          <w:tcPr>
            <w:tcW w:w="1315" w:type="dxa"/>
          </w:tcPr>
          <w:p w:rsidR="00FE4C4C" w:rsidRDefault="00F81DC4">
            <w:pPr>
              <w:jc w:val="center"/>
              <w:textAlignment w:val="center"/>
              <w:rPr>
                <w:rFonts w:ascii="宋体" w:hAnsi="宋体" w:cs="宋体"/>
                <w:color w:val="000000"/>
                <w:kern w:val="0"/>
                <w:sz w:val="24"/>
                <w:lang w:bidi="ar"/>
              </w:rPr>
            </w:pPr>
            <w:r>
              <w:rPr>
                <w:rFonts w:hint="eastAsia"/>
                <w:sz w:val="24"/>
              </w:rPr>
              <w:t>线路布设</w:t>
            </w:r>
          </w:p>
        </w:tc>
        <w:tc>
          <w:tcPr>
            <w:tcW w:w="1315" w:type="dxa"/>
            <w:vAlign w:val="center"/>
          </w:tcPr>
          <w:p w:rsidR="00FE4C4C" w:rsidRDefault="00F81DC4">
            <w:pPr>
              <w:jc w:val="center"/>
              <w:textAlignment w:val="center"/>
              <w:rPr>
                <w:rFonts w:ascii="宋体" w:hAnsi="宋体" w:cs="宋体"/>
                <w:color w:val="000000"/>
                <w:kern w:val="0"/>
                <w:sz w:val="24"/>
                <w:lang w:bidi="ar"/>
              </w:rPr>
            </w:pPr>
            <w:r>
              <w:rPr>
                <w:rFonts w:ascii="宋体" w:hAnsi="宋体" w:cs="宋体"/>
                <w:color w:val="000000"/>
                <w:kern w:val="0"/>
                <w:sz w:val="24"/>
                <w:lang w:bidi="ar"/>
              </w:rPr>
              <w:t>122</w:t>
            </w:r>
            <w:r>
              <w:rPr>
                <w:rFonts w:ascii="宋体" w:hAnsi="宋体" w:cs="宋体" w:hint="eastAsia"/>
                <w:color w:val="000000"/>
                <w:kern w:val="0"/>
                <w:sz w:val="24"/>
                <w:lang w:bidi="ar"/>
              </w:rPr>
              <w:t>点</w:t>
            </w:r>
          </w:p>
        </w:tc>
        <w:tc>
          <w:tcPr>
            <w:tcW w:w="1315" w:type="dxa"/>
            <w:vAlign w:val="center"/>
          </w:tcPr>
          <w:p w:rsidR="00FE4C4C" w:rsidRDefault="00F81DC4">
            <w:pPr>
              <w:jc w:val="center"/>
              <w:textAlignment w:val="center"/>
              <w:rPr>
                <w:rFonts w:ascii="宋体" w:hAnsi="宋体" w:cs="宋体"/>
                <w:color w:val="000000"/>
                <w:kern w:val="0"/>
                <w:sz w:val="24"/>
                <w:lang w:bidi="ar"/>
              </w:rPr>
            </w:pPr>
            <w:r>
              <w:rPr>
                <w:rFonts w:ascii="宋体" w:hAnsi="宋体" w:cs="宋体"/>
                <w:color w:val="000000"/>
                <w:kern w:val="0"/>
                <w:sz w:val="24"/>
                <w:lang w:bidi="ar"/>
              </w:rPr>
              <w:t>400</w:t>
            </w:r>
          </w:p>
        </w:tc>
        <w:tc>
          <w:tcPr>
            <w:tcW w:w="1315" w:type="dxa"/>
            <w:vAlign w:val="center"/>
          </w:tcPr>
          <w:p w:rsidR="00FE4C4C" w:rsidRDefault="00F81DC4">
            <w:pPr>
              <w:jc w:val="center"/>
              <w:textAlignment w:val="center"/>
              <w:rPr>
                <w:rFonts w:ascii="宋体" w:hAnsi="宋体" w:cs="宋体"/>
                <w:color w:val="000000"/>
                <w:kern w:val="0"/>
                <w:sz w:val="24"/>
                <w:lang w:bidi="ar"/>
              </w:rPr>
            </w:pPr>
            <w:r>
              <w:rPr>
                <w:rFonts w:ascii="宋体" w:hAnsi="宋体" w:cs="宋体"/>
                <w:color w:val="000000"/>
                <w:kern w:val="0"/>
                <w:sz w:val="24"/>
                <w:lang w:bidi="ar"/>
              </w:rPr>
              <w:t>48800</w:t>
            </w:r>
          </w:p>
        </w:tc>
      </w:tr>
    </w:tbl>
    <w:p w:rsidR="00FE4C4C" w:rsidRDefault="00F81DC4" w:rsidP="004816AA">
      <w:pPr>
        <w:tabs>
          <w:tab w:val="left" w:pos="0"/>
        </w:tabs>
        <w:adjustRightInd w:val="0"/>
        <w:spacing w:line="500" w:lineRule="exact"/>
        <w:ind w:firstLineChars="200" w:firstLine="482"/>
        <w:rPr>
          <w:rStyle w:val="NormalCharacter"/>
          <w:rFonts w:asciiTheme="majorEastAsia" w:eastAsiaTheme="majorEastAsia" w:hAnsiTheme="majorEastAsia" w:cs="Times New Roman"/>
          <w:b/>
          <w:color w:val="000000" w:themeColor="text1"/>
          <w:sz w:val="24"/>
        </w:rPr>
      </w:pPr>
      <w:r>
        <w:rPr>
          <w:rStyle w:val="NormalCharacter"/>
          <w:rFonts w:asciiTheme="majorEastAsia" w:eastAsiaTheme="majorEastAsia" w:hAnsiTheme="majorEastAsia" w:cs="Times New Roman" w:hint="eastAsia"/>
          <w:b/>
          <w:color w:val="000000" w:themeColor="text1"/>
          <w:sz w:val="24"/>
        </w:rPr>
        <w:t>二、技术要求：</w:t>
      </w:r>
    </w:p>
    <w:tbl>
      <w:tblPr>
        <w:tblStyle w:val="af"/>
        <w:tblW w:w="0" w:type="auto"/>
        <w:tblInd w:w="420" w:type="dxa"/>
        <w:tblLook w:val="04A0" w:firstRow="1" w:lastRow="0" w:firstColumn="1" w:lastColumn="0" w:noHBand="0" w:noVBand="1"/>
      </w:tblPr>
      <w:tblGrid>
        <w:gridCol w:w="1248"/>
        <w:gridCol w:w="1701"/>
        <w:gridCol w:w="6259"/>
      </w:tblGrid>
      <w:tr w:rsidR="00FE4C4C">
        <w:tc>
          <w:tcPr>
            <w:tcW w:w="1248" w:type="dxa"/>
            <w:vAlign w:val="center"/>
          </w:tcPr>
          <w:p w:rsidR="00FE4C4C" w:rsidRDefault="00F81DC4">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序号</w:t>
            </w:r>
          </w:p>
        </w:tc>
        <w:tc>
          <w:tcPr>
            <w:tcW w:w="1701" w:type="dxa"/>
            <w:vAlign w:val="center"/>
          </w:tcPr>
          <w:p w:rsidR="00FE4C4C" w:rsidRDefault="00F81DC4">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品目</w:t>
            </w:r>
          </w:p>
          <w:p w:rsidR="00FE4C4C" w:rsidRDefault="00F81DC4">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名称</w:t>
            </w:r>
          </w:p>
        </w:tc>
        <w:tc>
          <w:tcPr>
            <w:tcW w:w="6259" w:type="dxa"/>
            <w:vAlign w:val="center"/>
          </w:tcPr>
          <w:p w:rsidR="00FE4C4C" w:rsidRDefault="00F81DC4">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规格/材质</w:t>
            </w:r>
          </w:p>
        </w:tc>
      </w:tr>
      <w:tr w:rsidR="00FE4C4C">
        <w:tc>
          <w:tcPr>
            <w:tcW w:w="1248" w:type="dxa"/>
            <w:vAlign w:val="center"/>
          </w:tcPr>
          <w:p w:rsidR="00FE4C4C" w:rsidRDefault="00F81DC4">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cs="宋体"/>
                <w:kern w:val="0"/>
                <w:sz w:val="24"/>
              </w:rPr>
              <w:t>1</w:t>
            </w:r>
          </w:p>
        </w:tc>
        <w:tc>
          <w:tcPr>
            <w:tcW w:w="1701" w:type="dxa"/>
            <w:vAlign w:val="center"/>
          </w:tcPr>
          <w:p w:rsidR="00FE4C4C" w:rsidRDefault="00F81DC4">
            <w:pPr>
              <w:spacing w:line="400" w:lineRule="exact"/>
              <w:jc w:val="center"/>
              <w:rPr>
                <w:rFonts w:asciiTheme="majorEastAsia" w:eastAsiaTheme="majorEastAsia" w:hAnsiTheme="majorEastAsia" w:cs="宋体"/>
                <w:kern w:val="0"/>
                <w:sz w:val="24"/>
              </w:rPr>
            </w:pPr>
            <w:r>
              <w:rPr>
                <w:rFonts w:asciiTheme="majorEastAsia" w:eastAsiaTheme="majorEastAsia" w:hAnsiTheme="majorEastAsia" w:hint="eastAsia"/>
                <w:sz w:val="24"/>
              </w:rPr>
              <w:t>机房综合布线</w:t>
            </w:r>
          </w:p>
        </w:tc>
        <w:tc>
          <w:tcPr>
            <w:tcW w:w="6259" w:type="dxa"/>
            <w:vAlign w:val="center"/>
          </w:tcPr>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122</w:t>
            </w:r>
            <w:r>
              <w:rPr>
                <w:rFonts w:asciiTheme="majorEastAsia" w:eastAsiaTheme="majorEastAsia" w:hAnsiTheme="majorEastAsia" w:hint="eastAsia"/>
                <w:sz w:val="24"/>
              </w:rPr>
              <w:t>个强弱电点位线材(1批)：排插，电线2.5平方，六类网络线、防阻燃PVC线槽， 86明盒面板、六类水晶头等满足项目实施所必需的线材和辅材。为了保障实训室线路安全以及计算机教学正常使用，需要在施工布线过程以及后期安装调试部署关联的平台， 原有计算机及桌椅布线前需搬移到</w:t>
            </w:r>
            <w:proofErr w:type="gramStart"/>
            <w:r>
              <w:rPr>
                <w:rFonts w:asciiTheme="majorEastAsia" w:eastAsiaTheme="majorEastAsia" w:hAnsiTheme="majorEastAsia" w:hint="eastAsia"/>
                <w:sz w:val="24"/>
              </w:rPr>
              <w:t>其他间实训</w:t>
            </w:r>
            <w:proofErr w:type="gramEnd"/>
            <w:r>
              <w:rPr>
                <w:rFonts w:asciiTheme="majorEastAsia" w:eastAsiaTheme="majorEastAsia" w:hAnsiTheme="majorEastAsia" w:hint="eastAsia"/>
                <w:sz w:val="24"/>
              </w:rPr>
              <w:t>室，布线完工后复原，计算机原有操作系统重新部署，根据实训</w:t>
            </w:r>
            <w:proofErr w:type="gramStart"/>
            <w:r>
              <w:rPr>
                <w:rFonts w:asciiTheme="majorEastAsia" w:eastAsiaTheme="majorEastAsia" w:hAnsiTheme="majorEastAsia" w:hint="eastAsia"/>
                <w:sz w:val="24"/>
              </w:rPr>
              <w:t>室教学</w:t>
            </w:r>
            <w:proofErr w:type="gramEnd"/>
            <w:r>
              <w:rPr>
                <w:rFonts w:asciiTheme="majorEastAsia" w:eastAsiaTheme="majorEastAsia" w:hAnsiTheme="majorEastAsia" w:hint="eastAsia"/>
                <w:sz w:val="24"/>
              </w:rPr>
              <w:t>需要，安装多个操作系统，网络同</w:t>
            </w:r>
            <w:proofErr w:type="gramStart"/>
            <w:r>
              <w:rPr>
                <w:rFonts w:asciiTheme="majorEastAsia" w:eastAsiaTheme="majorEastAsia" w:hAnsiTheme="majorEastAsia" w:hint="eastAsia"/>
                <w:sz w:val="24"/>
              </w:rPr>
              <w:t>传功能</w:t>
            </w:r>
            <w:proofErr w:type="gramEnd"/>
            <w:r>
              <w:rPr>
                <w:rFonts w:asciiTheme="majorEastAsia" w:eastAsiaTheme="majorEastAsia" w:hAnsiTheme="majorEastAsia" w:hint="eastAsia"/>
                <w:sz w:val="24"/>
              </w:rPr>
              <w:t>与硬盘保护功能，统一管理软件以及实</w:t>
            </w:r>
            <w:proofErr w:type="gramStart"/>
            <w:r>
              <w:rPr>
                <w:rFonts w:asciiTheme="majorEastAsia" w:eastAsiaTheme="majorEastAsia" w:hAnsiTheme="majorEastAsia" w:hint="eastAsia"/>
                <w:sz w:val="24"/>
              </w:rPr>
              <w:t>训教学</w:t>
            </w:r>
            <w:proofErr w:type="gramEnd"/>
            <w:r>
              <w:rPr>
                <w:rFonts w:asciiTheme="majorEastAsia" w:eastAsiaTheme="majorEastAsia" w:hAnsiTheme="majorEastAsia" w:hint="eastAsia"/>
                <w:sz w:val="24"/>
              </w:rPr>
              <w:t>专业软件：1.通过ADS虚拟化实现所有的计算机终端集中统一管理。</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2.客户端不依赖网络和</w:t>
            </w:r>
            <w:proofErr w:type="gramStart"/>
            <w:r>
              <w:rPr>
                <w:rFonts w:asciiTheme="majorEastAsia" w:eastAsiaTheme="majorEastAsia" w:hAnsiTheme="majorEastAsia" w:hint="eastAsia"/>
                <w:sz w:val="24"/>
              </w:rPr>
              <w:t>服务端可自我</w:t>
            </w:r>
            <w:proofErr w:type="gramEnd"/>
            <w:r>
              <w:rPr>
                <w:rFonts w:asciiTheme="majorEastAsia" w:eastAsiaTheme="majorEastAsia" w:hAnsiTheme="majorEastAsia" w:hint="eastAsia"/>
                <w:sz w:val="24"/>
              </w:rPr>
              <w:t>还原，支持分区每次、每天、每周、每月、手动等多种还原方式（要求成交人在结果公告发出之日起</w:t>
            </w:r>
            <w:r>
              <w:rPr>
                <w:rFonts w:asciiTheme="majorEastAsia" w:eastAsiaTheme="majorEastAsia" w:hAnsiTheme="majorEastAsia"/>
                <w:sz w:val="24"/>
              </w:rPr>
              <w:t>2</w:t>
            </w:r>
            <w:r>
              <w:rPr>
                <w:rFonts w:asciiTheme="majorEastAsia" w:eastAsiaTheme="majorEastAsia" w:hAnsiTheme="majorEastAsia" w:hint="eastAsia"/>
                <w:sz w:val="24"/>
              </w:rPr>
              <w:t>个工作日内须提供截图）。</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3.客户端启动界面提供管理接口，断网的情况下，管理员也可以更新系统和应用软件。</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4.软件管理具有分组属性、终端列表、多分组显示三个功能（要求成交人在结果公告发出之日起</w:t>
            </w:r>
            <w:r>
              <w:rPr>
                <w:rFonts w:asciiTheme="majorEastAsia" w:eastAsiaTheme="majorEastAsia" w:hAnsiTheme="majorEastAsia"/>
                <w:sz w:val="24"/>
              </w:rPr>
              <w:t>2</w:t>
            </w:r>
            <w:r>
              <w:rPr>
                <w:rFonts w:asciiTheme="majorEastAsia" w:eastAsiaTheme="majorEastAsia" w:hAnsiTheme="majorEastAsia" w:hint="eastAsia"/>
                <w:sz w:val="24"/>
              </w:rPr>
              <w:t>个工作日内须提供）。</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lastRenderedPageBreak/>
              <w:t>5.可根据网络环境，选择P2P或广播两种不同的部署模式进行后台部署（要求成交人在结果公告发出之日起</w:t>
            </w:r>
            <w:r>
              <w:rPr>
                <w:rFonts w:asciiTheme="majorEastAsia" w:eastAsiaTheme="majorEastAsia" w:hAnsiTheme="majorEastAsia"/>
                <w:sz w:val="24"/>
              </w:rPr>
              <w:t>2</w:t>
            </w:r>
            <w:r>
              <w:rPr>
                <w:rFonts w:asciiTheme="majorEastAsia" w:eastAsiaTheme="majorEastAsia" w:hAnsiTheme="majorEastAsia" w:hint="eastAsia"/>
                <w:sz w:val="24"/>
              </w:rPr>
              <w:t>个工作日内须提供）。</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6.瞬时脱扣特性： ≥5-10倍额定电流；极数≥1P；额定电压：≥AC230V；额定电流：≥16A/25A/32A/63A；</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7.能对监控线路的电流进行监测，并能在PC</w:t>
            </w:r>
            <w:proofErr w:type="gramStart"/>
            <w:r>
              <w:rPr>
                <w:rFonts w:asciiTheme="majorEastAsia" w:eastAsiaTheme="majorEastAsia" w:hAnsiTheme="majorEastAsia" w:hint="eastAsia"/>
                <w:sz w:val="24"/>
              </w:rPr>
              <w:t>端显示</w:t>
            </w:r>
            <w:proofErr w:type="gramEnd"/>
            <w:r>
              <w:rPr>
                <w:rFonts w:asciiTheme="majorEastAsia" w:eastAsiaTheme="majorEastAsia" w:hAnsiTheme="majorEastAsia" w:hint="eastAsia"/>
                <w:sz w:val="24"/>
              </w:rPr>
              <w:t>实时电流监测数据。</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8</w:t>
            </w:r>
            <w:r>
              <w:rPr>
                <w:rFonts w:asciiTheme="majorEastAsia" w:eastAsiaTheme="majorEastAsia" w:hAnsiTheme="majorEastAsia"/>
                <w:sz w:val="24"/>
              </w:rPr>
              <w:t>.</w:t>
            </w:r>
            <w:r>
              <w:rPr>
                <w:rFonts w:asciiTheme="majorEastAsia" w:eastAsiaTheme="majorEastAsia" w:hAnsiTheme="majorEastAsia" w:hint="eastAsia"/>
                <w:sz w:val="24"/>
              </w:rPr>
              <w:t>可设置电流上限预警阈值和报警阈值。当监控线路负载的运行电流超过预警阈值时，设备发送过流预警信息至平台；当监控线路负载的运行电流超过报警阈值时，设备应能自动分闸，并发送过载报警信息至平台；</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9</w:t>
            </w:r>
            <w:r>
              <w:rPr>
                <w:rFonts w:asciiTheme="majorEastAsia" w:eastAsiaTheme="majorEastAsia" w:hAnsiTheme="majorEastAsia"/>
                <w:sz w:val="24"/>
              </w:rPr>
              <w:t>.</w:t>
            </w:r>
            <w:r>
              <w:rPr>
                <w:rFonts w:asciiTheme="majorEastAsia" w:eastAsiaTheme="majorEastAsia" w:hAnsiTheme="majorEastAsia" w:hint="eastAsia"/>
                <w:sz w:val="24"/>
              </w:rPr>
              <w:t>当监测到线路中错相接线时触发错相报警，设备可发送错相报警信息至远程平台（要求成交人在结果公告发出之日起</w:t>
            </w:r>
            <w:r>
              <w:rPr>
                <w:rFonts w:asciiTheme="majorEastAsia" w:eastAsiaTheme="majorEastAsia" w:hAnsiTheme="majorEastAsia"/>
                <w:sz w:val="24"/>
              </w:rPr>
              <w:t>2</w:t>
            </w:r>
            <w:r>
              <w:rPr>
                <w:rFonts w:asciiTheme="majorEastAsia" w:eastAsiaTheme="majorEastAsia" w:hAnsiTheme="majorEastAsia" w:hint="eastAsia"/>
                <w:sz w:val="24"/>
              </w:rPr>
              <w:t>个工作日内提供具有CAL、CMA、CNAS标识的有效检验报告复印件并加盖投标人公章</w:t>
            </w:r>
            <w:proofErr w:type="gramStart"/>
            <w:r>
              <w:rPr>
                <w:rFonts w:asciiTheme="majorEastAsia" w:eastAsiaTheme="majorEastAsia" w:hAnsiTheme="majorEastAsia" w:hint="eastAsia"/>
                <w:sz w:val="24"/>
              </w:rPr>
              <w:t>做为</w:t>
            </w:r>
            <w:proofErr w:type="gramEnd"/>
            <w:r>
              <w:rPr>
                <w:rFonts w:asciiTheme="majorEastAsia" w:eastAsiaTheme="majorEastAsia" w:hAnsiTheme="majorEastAsia" w:hint="eastAsia"/>
                <w:sz w:val="24"/>
              </w:rPr>
              <w:t>依据）</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0.</w:t>
            </w:r>
            <w:proofErr w:type="gramStart"/>
            <w:r>
              <w:rPr>
                <w:rFonts w:asciiTheme="majorEastAsia" w:eastAsiaTheme="majorEastAsia" w:hAnsiTheme="majorEastAsia" w:hint="eastAsia"/>
                <w:sz w:val="24"/>
              </w:rPr>
              <w:t>支持零火反接</w:t>
            </w:r>
            <w:proofErr w:type="gramEnd"/>
            <w:r>
              <w:rPr>
                <w:rFonts w:asciiTheme="majorEastAsia" w:eastAsiaTheme="majorEastAsia" w:hAnsiTheme="majorEastAsia" w:hint="eastAsia"/>
                <w:sz w:val="24"/>
              </w:rPr>
              <w:t>检测与报警。当监控线路中零线、火线反接时，设备可</w:t>
            </w:r>
            <w:proofErr w:type="gramStart"/>
            <w:r>
              <w:rPr>
                <w:rFonts w:asciiTheme="majorEastAsia" w:eastAsiaTheme="majorEastAsia" w:hAnsiTheme="majorEastAsia" w:hint="eastAsia"/>
                <w:sz w:val="24"/>
              </w:rPr>
              <w:t>发送零火反接</w:t>
            </w:r>
            <w:proofErr w:type="gramEnd"/>
            <w:r>
              <w:rPr>
                <w:rFonts w:asciiTheme="majorEastAsia" w:eastAsiaTheme="majorEastAsia" w:hAnsiTheme="majorEastAsia" w:hint="eastAsia"/>
                <w:sz w:val="24"/>
              </w:rPr>
              <w:t>报警信息至APP或平台；（要求成交人在结果公告发出之日起</w:t>
            </w:r>
            <w:r>
              <w:rPr>
                <w:rFonts w:asciiTheme="majorEastAsia" w:eastAsiaTheme="majorEastAsia" w:hAnsiTheme="majorEastAsia"/>
                <w:sz w:val="24"/>
              </w:rPr>
              <w:t>2</w:t>
            </w:r>
            <w:r>
              <w:rPr>
                <w:rFonts w:asciiTheme="majorEastAsia" w:eastAsiaTheme="majorEastAsia" w:hAnsiTheme="majorEastAsia" w:hint="eastAsia"/>
                <w:sz w:val="24"/>
              </w:rPr>
              <w:t>个工作日内提供具有CAL、CMA、CNAS标识的有效检验报告复印件并加盖投标人公章</w:t>
            </w:r>
            <w:proofErr w:type="gramStart"/>
            <w:r>
              <w:rPr>
                <w:rFonts w:asciiTheme="majorEastAsia" w:eastAsiaTheme="majorEastAsia" w:hAnsiTheme="majorEastAsia" w:hint="eastAsia"/>
                <w:sz w:val="24"/>
              </w:rPr>
              <w:t>做为</w:t>
            </w:r>
            <w:proofErr w:type="gramEnd"/>
            <w:r>
              <w:rPr>
                <w:rFonts w:asciiTheme="majorEastAsia" w:eastAsiaTheme="majorEastAsia" w:hAnsiTheme="majorEastAsia" w:hint="eastAsia"/>
                <w:sz w:val="24"/>
              </w:rPr>
              <w:t>依据）</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1.</w:t>
            </w:r>
            <w:r>
              <w:rPr>
                <w:rFonts w:asciiTheme="majorEastAsia" w:eastAsiaTheme="majorEastAsia" w:hAnsiTheme="majorEastAsia" w:hint="eastAsia"/>
                <w:sz w:val="24"/>
              </w:rPr>
              <w:t>当监测到线路出现故障电弧时，触发故障电弧报警，设备可发送故障电弧报警信息至远程平台；（要求成交人在结果公告发出之日起</w:t>
            </w:r>
            <w:r>
              <w:rPr>
                <w:rFonts w:asciiTheme="majorEastAsia" w:eastAsiaTheme="majorEastAsia" w:hAnsiTheme="majorEastAsia"/>
                <w:sz w:val="24"/>
              </w:rPr>
              <w:t>2</w:t>
            </w:r>
            <w:r>
              <w:rPr>
                <w:rFonts w:asciiTheme="majorEastAsia" w:eastAsiaTheme="majorEastAsia" w:hAnsiTheme="majorEastAsia" w:hint="eastAsia"/>
                <w:sz w:val="24"/>
              </w:rPr>
              <w:t>个工作日内提供具有CAL、CMA、CNAS标识的有效检验报告复印件并加盖投标人公章</w:t>
            </w:r>
            <w:proofErr w:type="gramStart"/>
            <w:r>
              <w:rPr>
                <w:rFonts w:asciiTheme="majorEastAsia" w:eastAsiaTheme="majorEastAsia" w:hAnsiTheme="majorEastAsia" w:hint="eastAsia"/>
                <w:sz w:val="24"/>
              </w:rPr>
              <w:t>做为</w:t>
            </w:r>
            <w:proofErr w:type="gramEnd"/>
            <w:r>
              <w:rPr>
                <w:rFonts w:asciiTheme="majorEastAsia" w:eastAsiaTheme="majorEastAsia" w:hAnsiTheme="majorEastAsia" w:hint="eastAsia"/>
                <w:sz w:val="24"/>
              </w:rPr>
              <w:t>依据）</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2.</w:t>
            </w:r>
            <w:r>
              <w:rPr>
                <w:rFonts w:asciiTheme="majorEastAsia" w:eastAsiaTheme="majorEastAsia" w:hAnsiTheme="majorEastAsia" w:hint="eastAsia"/>
                <w:sz w:val="24"/>
              </w:rPr>
              <w:t>当监测到线路中出现异常，设备</w:t>
            </w:r>
            <w:proofErr w:type="gramStart"/>
            <w:r>
              <w:rPr>
                <w:rFonts w:asciiTheme="majorEastAsia" w:eastAsiaTheme="majorEastAsia" w:hAnsiTheme="majorEastAsia" w:hint="eastAsia"/>
                <w:sz w:val="24"/>
              </w:rPr>
              <w:t>报警分</w:t>
            </w:r>
            <w:proofErr w:type="gramEnd"/>
            <w:r>
              <w:rPr>
                <w:rFonts w:asciiTheme="majorEastAsia" w:eastAsiaTheme="majorEastAsia" w:hAnsiTheme="majorEastAsia" w:hint="eastAsia"/>
                <w:sz w:val="24"/>
              </w:rPr>
              <w:t>闸后，待线路中异常恢复正常时，设备报警消除并进行重合闸动作，支持通过远程平台设置重合闸的间隔时间；（要求成交人在结果公告发出之日起</w:t>
            </w:r>
            <w:r>
              <w:rPr>
                <w:rFonts w:asciiTheme="majorEastAsia" w:eastAsiaTheme="majorEastAsia" w:hAnsiTheme="majorEastAsia"/>
                <w:sz w:val="24"/>
              </w:rPr>
              <w:t>2</w:t>
            </w:r>
            <w:r>
              <w:rPr>
                <w:rFonts w:asciiTheme="majorEastAsia" w:eastAsiaTheme="majorEastAsia" w:hAnsiTheme="majorEastAsia" w:hint="eastAsia"/>
                <w:sz w:val="24"/>
              </w:rPr>
              <w:t>个工作日内具有CAL、CMA、CNAS标识的有效检验报告复印件并加盖投标人公章</w:t>
            </w:r>
            <w:proofErr w:type="gramStart"/>
            <w:r>
              <w:rPr>
                <w:rFonts w:asciiTheme="majorEastAsia" w:eastAsiaTheme="majorEastAsia" w:hAnsiTheme="majorEastAsia" w:hint="eastAsia"/>
                <w:sz w:val="24"/>
              </w:rPr>
              <w:t>做为</w:t>
            </w:r>
            <w:proofErr w:type="gramEnd"/>
            <w:r>
              <w:rPr>
                <w:rFonts w:asciiTheme="majorEastAsia" w:eastAsiaTheme="majorEastAsia" w:hAnsiTheme="majorEastAsia" w:hint="eastAsia"/>
                <w:sz w:val="24"/>
              </w:rPr>
              <w:t>依据）</w:t>
            </w:r>
          </w:p>
          <w:p w:rsidR="00FE4C4C" w:rsidRDefault="00F81DC4">
            <w:pPr>
              <w:spacing w:line="400" w:lineRule="exac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3.</w:t>
            </w:r>
            <w:r>
              <w:rPr>
                <w:rFonts w:asciiTheme="majorEastAsia" w:eastAsiaTheme="majorEastAsia" w:hAnsiTheme="majorEastAsia" w:hint="eastAsia"/>
                <w:sz w:val="24"/>
              </w:rPr>
              <w:t>应能承受不低于1.5kV(126V～250V)；抗电强度试验，历时1min，不应出现飞弧和击穿现象。（要求成交人在结果公告发出之日起</w:t>
            </w:r>
            <w:r>
              <w:rPr>
                <w:rFonts w:asciiTheme="majorEastAsia" w:eastAsiaTheme="majorEastAsia" w:hAnsiTheme="majorEastAsia"/>
                <w:sz w:val="24"/>
              </w:rPr>
              <w:t>2</w:t>
            </w:r>
            <w:r>
              <w:rPr>
                <w:rFonts w:asciiTheme="majorEastAsia" w:eastAsiaTheme="majorEastAsia" w:hAnsiTheme="majorEastAsia" w:hint="eastAsia"/>
                <w:sz w:val="24"/>
              </w:rPr>
              <w:t>个工作日内具有CAL、CMA、CNAS标识的有效检验报告复印件并加盖投标人公章</w:t>
            </w:r>
            <w:proofErr w:type="gramStart"/>
            <w:r>
              <w:rPr>
                <w:rFonts w:asciiTheme="majorEastAsia" w:eastAsiaTheme="majorEastAsia" w:hAnsiTheme="majorEastAsia" w:hint="eastAsia"/>
                <w:sz w:val="24"/>
              </w:rPr>
              <w:t>做为</w:t>
            </w:r>
            <w:proofErr w:type="gramEnd"/>
            <w:r>
              <w:rPr>
                <w:rFonts w:asciiTheme="majorEastAsia" w:eastAsiaTheme="majorEastAsia" w:hAnsiTheme="majorEastAsia" w:hint="eastAsia"/>
                <w:sz w:val="24"/>
              </w:rPr>
              <w:t>依据）</w:t>
            </w:r>
          </w:p>
        </w:tc>
      </w:tr>
    </w:tbl>
    <w:p w:rsidR="00FE4C4C" w:rsidRDefault="00F81DC4" w:rsidP="004816AA">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lastRenderedPageBreak/>
        <w:t>三、商务要求：</w:t>
      </w:r>
    </w:p>
    <w:p w:rsidR="00FE4C4C" w:rsidRDefault="00F81DC4" w:rsidP="004816AA">
      <w:pPr>
        <w:tabs>
          <w:tab w:val="left" w:pos="0"/>
        </w:tabs>
        <w:adjustRightInd w:val="0"/>
        <w:spacing w:line="500" w:lineRule="exact"/>
        <w:ind w:firstLineChars="200" w:firstLine="482"/>
        <w:rPr>
          <w:rFonts w:ascii="宋体" w:hAnsi="宋体"/>
          <w:sz w:val="24"/>
        </w:rPr>
      </w:pPr>
      <w:r>
        <w:rPr>
          <w:rFonts w:ascii="宋体" w:hAnsi="宋体" w:hint="eastAsia"/>
          <w:b/>
          <w:sz w:val="24"/>
        </w:rPr>
        <w:t>1.交货日期：</w:t>
      </w:r>
      <w:r>
        <w:rPr>
          <w:rFonts w:ascii="宋体" w:hAnsi="宋体" w:hint="eastAsia"/>
          <w:sz w:val="24"/>
        </w:rPr>
        <w:t>合同签订后</w:t>
      </w:r>
      <w:r>
        <w:rPr>
          <w:rFonts w:ascii="宋体" w:hAnsi="宋体"/>
          <w:sz w:val="24"/>
        </w:rPr>
        <w:t>10</w:t>
      </w:r>
      <w:r>
        <w:rPr>
          <w:rFonts w:ascii="宋体" w:hAnsi="宋体" w:hint="eastAsia"/>
          <w:sz w:val="24"/>
        </w:rPr>
        <w:t>天完成</w:t>
      </w:r>
    </w:p>
    <w:p w:rsidR="00FE4C4C" w:rsidRDefault="00F81DC4" w:rsidP="004816AA">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w:t>
      </w:r>
      <w:r>
        <w:rPr>
          <w:rFonts w:ascii="宋体" w:hAnsi="宋体" w:hint="eastAsia"/>
          <w:sz w:val="24"/>
        </w:rPr>
        <w:t>福州职业技术学院2号楼</w:t>
      </w:r>
    </w:p>
    <w:p w:rsidR="00FE4C4C" w:rsidRDefault="00F81DC4" w:rsidP="004816AA">
      <w:pPr>
        <w:spacing w:line="500" w:lineRule="exact"/>
        <w:ind w:firstLineChars="200" w:firstLine="482"/>
        <w:rPr>
          <w:rFonts w:asciiTheme="majorEastAsia" w:eastAsiaTheme="majorEastAsia" w:hAnsiTheme="majorEastAsia"/>
          <w:sz w:val="24"/>
        </w:rPr>
      </w:pPr>
      <w:r>
        <w:rPr>
          <w:rFonts w:ascii="宋体" w:hAnsi="宋体" w:hint="eastAsia"/>
          <w:b/>
          <w:sz w:val="24"/>
        </w:rPr>
        <w:t>3.付款方式：</w:t>
      </w:r>
      <w:r>
        <w:rPr>
          <w:rFonts w:ascii="宋体" w:hAnsi="宋体" w:hint="eastAsia"/>
          <w:sz w:val="24"/>
        </w:rPr>
        <w:t>全部货物交货经安装调试，并经验收合格后，</w:t>
      </w:r>
      <w:r>
        <w:rPr>
          <w:rFonts w:ascii="宋体" w:hAnsi="宋体"/>
          <w:sz w:val="24"/>
        </w:rPr>
        <w:t>5</w:t>
      </w:r>
      <w:r>
        <w:rPr>
          <w:rFonts w:ascii="宋体" w:hAnsi="宋体" w:hint="eastAsia"/>
          <w:sz w:val="24"/>
        </w:rPr>
        <w:t>个工作日内学校凭收讫货物的验收凭证和货物验收合格文件等材料以转账方式向供应商一次性支付 100% 的货物价款。</w:t>
      </w:r>
    </w:p>
    <w:p w:rsidR="00FE4C4C" w:rsidRDefault="00F81DC4" w:rsidP="004816AA">
      <w:pPr>
        <w:tabs>
          <w:tab w:val="left" w:pos="0"/>
        </w:tabs>
        <w:adjustRightInd w:val="0"/>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4.包装和运输：</w:t>
      </w:r>
    </w:p>
    <w:p w:rsidR="00FE4C4C" w:rsidRDefault="00F81DC4">
      <w:pPr>
        <w:tabs>
          <w:tab w:val="left" w:pos="0"/>
        </w:tabs>
        <w:adjustRightIn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4.1.包装必须与运输方式相适应，包装方式的确定及包装费用均</w:t>
      </w:r>
      <w:proofErr w:type="gramStart"/>
      <w:r>
        <w:rPr>
          <w:rFonts w:asciiTheme="majorEastAsia" w:eastAsiaTheme="majorEastAsia" w:hAnsiTheme="majorEastAsia" w:hint="eastAsia"/>
          <w:sz w:val="24"/>
        </w:rPr>
        <w:t>由成交人</w:t>
      </w:r>
      <w:proofErr w:type="gramEnd"/>
      <w:r>
        <w:rPr>
          <w:rFonts w:asciiTheme="majorEastAsia" w:eastAsiaTheme="majorEastAsia" w:hAnsiTheme="majorEastAsia" w:hint="eastAsia"/>
          <w:sz w:val="24"/>
        </w:rPr>
        <w:t>负责；由于不适当的包装而造成货物在运输过程中有任何损坏、丢失</w:t>
      </w:r>
      <w:proofErr w:type="gramStart"/>
      <w:r>
        <w:rPr>
          <w:rFonts w:asciiTheme="majorEastAsia" w:eastAsiaTheme="majorEastAsia" w:hAnsiTheme="majorEastAsia" w:hint="eastAsia"/>
          <w:sz w:val="24"/>
        </w:rPr>
        <w:t>由成交人</w:t>
      </w:r>
      <w:proofErr w:type="gramEnd"/>
      <w:r>
        <w:rPr>
          <w:rFonts w:asciiTheme="majorEastAsia" w:eastAsiaTheme="majorEastAsia" w:hAnsiTheme="majorEastAsia" w:hint="eastAsia"/>
          <w:sz w:val="24"/>
        </w:rPr>
        <w:t>负责。</w:t>
      </w:r>
    </w:p>
    <w:p w:rsidR="00FE4C4C" w:rsidRDefault="00F81DC4">
      <w:pPr>
        <w:tabs>
          <w:tab w:val="left" w:pos="0"/>
        </w:tabs>
        <w:adjustRightIn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4.2.专用工具及备品备件应分别包装，并在包装箱外加以注明其用处。</w:t>
      </w:r>
    </w:p>
    <w:p w:rsidR="00FE4C4C" w:rsidRDefault="00F81DC4">
      <w:pPr>
        <w:tabs>
          <w:tab w:val="left" w:pos="0"/>
        </w:tabs>
        <w:adjustRightIn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4.3.符合运输要求，保证货物到达目的地时完好，无毁损，包装不回收。在运输过程中造成的产品损失或损坏</w:t>
      </w:r>
      <w:proofErr w:type="gramStart"/>
      <w:r>
        <w:rPr>
          <w:rFonts w:asciiTheme="majorEastAsia" w:eastAsiaTheme="majorEastAsia" w:hAnsiTheme="majorEastAsia" w:hint="eastAsia"/>
          <w:sz w:val="24"/>
        </w:rPr>
        <w:t>由成交人</w:t>
      </w:r>
      <w:proofErr w:type="gramEnd"/>
      <w:r>
        <w:rPr>
          <w:rFonts w:asciiTheme="majorEastAsia" w:eastAsiaTheme="majorEastAsia" w:hAnsiTheme="majorEastAsia" w:hint="eastAsia"/>
          <w:sz w:val="24"/>
        </w:rPr>
        <w:t>负担。</w:t>
      </w:r>
    </w:p>
    <w:p w:rsidR="00FE4C4C" w:rsidRDefault="00F81DC4">
      <w:pPr>
        <w:tabs>
          <w:tab w:val="left" w:pos="0"/>
        </w:tabs>
        <w:adjustRightIn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4.4.货物、生产、包装、仓储、运输、装卸、保险以及成交人进行安装、调试、验收、培训、技术服务（包括技术资料）、保障服务等全部费用及税费均包含在本合同价款中。</w:t>
      </w:r>
    </w:p>
    <w:p w:rsidR="00FE4C4C" w:rsidRDefault="00F81DC4">
      <w:pPr>
        <w:tabs>
          <w:tab w:val="left" w:pos="0"/>
        </w:tabs>
        <w:adjustRightIn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4.5.若采用空运的以下单证原件在到货同时交给采购人，其单证副本（或复印件）则应在到货前三天内交给采购人。</w:t>
      </w:r>
    </w:p>
    <w:p w:rsidR="00FE4C4C" w:rsidRDefault="00F81DC4" w:rsidP="004816AA">
      <w:pPr>
        <w:tabs>
          <w:tab w:val="left" w:pos="0"/>
        </w:tabs>
        <w:adjustRightInd w:val="0"/>
        <w:spacing w:line="500" w:lineRule="exact"/>
        <w:ind w:firstLineChars="200" w:firstLine="482"/>
        <w:rPr>
          <w:rFonts w:ascii="宋体" w:hAnsi="宋体"/>
          <w:sz w:val="24"/>
        </w:rPr>
      </w:pPr>
      <w:r>
        <w:rPr>
          <w:rFonts w:asciiTheme="majorEastAsia" w:eastAsiaTheme="majorEastAsia" w:hAnsiTheme="majorEastAsia" w:hint="eastAsia"/>
          <w:b/>
          <w:sz w:val="24"/>
        </w:rPr>
        <w:t>5.质保期：</w:t>
      </w:r>
      <w:r>
        <w:rPr>
          <w:rFonts w:ascii="宋体" w:hAnsi="宋体" w:hint="eastAsia"/>
          <w:sz w:val="24"/>
        </w:rPr>
        <w:t>免费保修期为</w:t>
      </w:r>
      <w:r>
        <w:rPr>
          <w:rFonts w:ascii="宋体" w:hAnsi="宋体"/>
          <w:sz w:val="24"/>
        </w:rPr>
        <w:t>3</w:t>
      </w:r>
      <w:r>
        <w:rPr>
          <w:rFonts w:ascii="宋体" w:hAnsi="宋体" w:hint="eastAsia"/>
          <w:sz w:val="24"/>
        </w:rPr>
        <w:t>年（从货到验收合格之日起算）。</w:t>
      </w:r>
    </w:p>
    <w:p w:rsidR="00FE4C4C" w:rsidRDefault="00F81DC4" w:rsidP="004816AA">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6.售后服务：</w:t>
      </w:r>
    </w:p>
    <w:p w:rsidR="00FE4C4C" w:rsidRDefault="00F81DC4">
      <w:pPr>
        <w:spacing w:line="500" w:lineRule="exact"/>
        <w:ind w:firstLineChars="200" w:firstLine="480"/>
        <w:rPr>
          <w:rFonts w:ascii="宋体" w:hAnsi="宋体" w:cs="宋体"/>
          <w:sz w:val="24"/>
        </w:rPr>
      </w:pPr>
      <w:r>
        <w:rPr>
          <w:rFonts w:ascii="宋体" w:hAnsi="宋体" w:cs="宋体" w:hint="eastAsia"/>
          <w:sz w:val="24"/>
        </w:rPr>
        <w:t>6.1在质量保证期内设备运行发生故障时，成交人在接到采购人故障通知后 4 小时内应委派专业技术人员到现场免费提供咨询、维修和更换零部件等服务，并及时填写维修报告(包括故障原因、处理情况及采购人意见等)报采购人备案，若24小时内无法排除故障，则应先提供同档次备用产品供采购人使用，其中发生一切费用</w:t>
      </w:r>
      <w:proofErr w:type="gramStart"/>
      <w:r>
        <w:rPr>
          <w:rFonts w:ascii="宋体" w:hAnsi="宋体" w:cs="宋体" w:hint="eastAsia"/>
          <w:sz w:val="24"/>
        </w:rPr>
        <w:t>由成交人</w:t>
      </w:r>
      <w:proofErr w:type="gramEnd"/>
      <w:r>
        <w:rPr>
          <w:rFonts w:ascii="宋体" w:hAnsi="宋体" w:cs="宋体" w:hint="eastAsia"/>
          <w:sz w:val="24"/>
        </w:rPr>
        <w:t>承担。质量保证期内成交人有责任对设备进行不定期的巡查检修，且成交人需每年为采购人机修人员免费进行至少一次的维修技术培训，免费保修期结束前一个月内成交人应负责对货物进行一次免费全面检查，如发现潜在问题，应负责排除，保证货物的正常运行。质保期外重复出现质保期内出现的故障属免费保修范围。</w:t>
      </w:r>
    </w:p>
    <w:p w:rsidR="00FE4C4C" w:rsidRDefault="00F81DC4">
      <w:pPr>
        <w:spacing w:line="500" w:lineRule="exact"/>
        <w:ind w:firstLineChars="200" w:firstLine="480"/>
        <w:rPr>
          <w:rFonts w:ascii="宋体" w:hAnsi="宋体" w:cs="宋体"/>
          <w:sz w:val="24"/>
        </w:rPr>
      </w:pPr>
      <w:r>
        <w:rPr>
          <w:rFonts w:ascii="宋体" w:hAnsi="宋体" w:cs="宋体" w:hint="eastAsia"/>
          <w:sz w:val="24"/>
        </w:rPr>
        <w:t>6.2成交人设有维修点和技术服务机构，应提供7×24小时电话响应服务。质量保证期内成交人有责任对设备进行不定期的巡查检修。</w:t>
      </w:r>
    </w:p>
    <w:p w:rsidR="00FE4C4C" w:rsidRDefault="00F81DC4">
      <w:pPr>
        <w:tabs>
          <w:tab w:val="left" w:pos="900"/>
          <w:tab w:val="left" w:pos="1100"/>
        </w:tabs>
        <w:spacing w:line="520" w:lineRule="exact"/>
        <w:ind w:firstLineChars="196" w:firstLine="470"/>
        <w:rPr>
          <w:rFonts w:ascii="仿宋_GB2312" w:eastAsia="仿宋_GB2312" w:hAnsi="仿宋"/>
          <w:sz w:val="28"/>
          <w:szCs w:val="28"/>
        </w:rPr>
      </w:pPr>
      <w:r>
        <w:rPr>
          <w:rFonts w:ascii="宋体" w:hAnsi="宋体" w:cs="宋体" w:hint="eastAsia"/>
          <w:sz w:val="24"/>
        </w:rPr>
        <w:lastRenderedPageBreak/>
        <w:t>6.3在质</w:t>
      </w:r>
      <w:proofErr w:type="gramStart"/>
      <w:r>
        <w:rPr>
          <w:rFonts w:ascii="宋体" w:hAnsi="宋体" w:cs="宋体" w:hint="eastAsia"/>
          <w:sz w:val="24"/>
        </w:rPr>
        <w:t>保期间</w:t>
      </w:r>
      <w:proofErr w:type="gramEnd"/>
      <w:r>
        <w:rPr>
          <w:rFonts w:ascii="宋体" w:hAnsi="宋体" w:cs="宋体" w:hint="eastAsia"/>
          <w:sz w:val="24"/>
        </w:rPr>
        <w:t>所有设备的检定或校准费用均</w:t>
      </w:r>
      <w:proofErr w:type="gramStart"/>
      <w:r>
        <w:rPr>
          <w:rFonts w:ascii="宋体" w:hAnsi="宋体" w:cs="宋体" w:hint="eastAsia"/>
          <w:sz w:val="24"/>
        </w:rPr>
        <w:t>由成交人</w:t>
      </w:r>
      <w:proofErr w:type="gramEnd"/>
      <w:r>
        <w:rPr>
          <w:rFonts w:ascii="宋体" w:hAnsi="宋体" w:cs="宋体" w:hint="eastAsia"/>
          <w:sz w:val="24"/>
        </w:rPr>
        <w:t>承担。</w:t>
      </w:r>
    </w:p>
    <w:p w:rsidR="00FE4C4C" w:rsidRDefault="00F81DC4" w:rsidP="004816AA">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7、验收要求：</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7.1</w:t>
      </w:r>
      <w:r>
        <w:rPr>
          <w:rFonts w:ascii="宋体" w:hAnsi="宋体"/>
          <w:sz w:val="24"/>
        </w:rPr>
        <w:t>验收期次</w:t>
      </w:r>
      <w:r>
        <w:rPr>
          <w:rFonts w:ascii="宋体" w:hAnsi="宋体" w:hint="eastAsia"/>
          <w:sz w:val="24"/>
        </w:rPr>
        <w:t>：</w:t>
      </w:r>
      <w:r>
        <w:rPr>
          <w:rFonts w:ascii="宋体" w:hAnsi="宋体" w:hint="eastAsia"/>
          <w:sz w:val="24"/>
          <w:u w:val="single"/>
        </w:rPr>
        <w:t>（1）</w:t>
      </w:r>
      <w:r>
        <w:rPr>
          <w:rFonts w:ascii="宋体" w:hAnsi="宋体" w:hint="eastAsia"/>
          <w:sz w:val="24"/>
        </w:rPr>
        <w:t>次</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7.2验收标准</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7.2.1成交人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r>
        <w:rPr>
          <w:rFonts w:ascii="宋体" w:hAnsi="宋体"/>
          <w:sz w:val="24"/>
        </w:rPr>
        <w:t xml:space="preserve"> </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2</w:t>
      </w:r>
      <w:r>
        <w:rPr>
          <w:rFonts w:ascii="宋体" w:hAnsi="宋体" w:hint="eastAsia"/>
          <w:sz w:val="24"/>
        </w:rPr>
        <w:t>成交人所提供的货物均</w:t>
      </w:r>
      <w:proofErr w:type="gramStart"/>
      <w:r>
        <w:rPr>
          <w:rFonts w:ascii="宋体" w:hAnsi="宋体" w:hint="eastAsia"/>
          <w:sz w:val="24"/>
        </w:rPr>
        <w:t>由成交人</w:t>
      </w:r>
      <w:proofErr w:type="gramEnd"/>
      <w:r>
        <w:rPr>
          <w:rFonts w:ascii="宋体" w:hAnsi="宋体" w:hint="eastAsia"/>
          <w:sz w:val="24"/>
        </w:rPr>
        <w:t>免费送货至采购人指定的交货地点。</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3</w:t>
      </w:r>
      <w:r>
        <w:rPr>
          <w:rFonts w:ascii="宋体" w:hAnsi="宋体" w:hint="eastAsia"/>
          <w:sz w:val="24"/>
        </w:rPr>
        <w:t>运输过程中造成的货物损坏、丢失或其它质量问题，其责任和损失</w:t>
      </w:r>
      <w:proofErr w:type="gramStart"/>
      <w:r>
        <w:rPr>
          <w:rFonts w:ascii="宋体" w:hAnsi="宋体" w:hint="eastAsia"/>
          <w:sz w:val="24"/>
        </w:rPr>
        <w:t>由成交人</w:t>
      </w:r>
      <w:proofErr w:type="gramEnd"/>
      <w:r>
        <w:rPr>
          <w:rFonts w:ascii="宋体" w:hAnsi="宋体" w:hint="eastAsia"/>
          <w:sz w:val="24"/>
        </w:rPr>
        <w:t>负担。</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4</w:t>
      </w:r>
      <w:r>
        <w:rPr>
          <w:rFonts w:ascii="宋体" w:hAnsi="宋体" w:hint="eastAsia"/>
          <w:sz w:val="24"/>
        </w:rPr>
        <w:t>本合同价为固定价，不受时间、物价升降等因素的影响，成交人需按所报清单上所列品种送货，不准以其它同类型代替。</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5</w:t>
      </w:r>
      <w:r>
        <w:rPr>
          <w:rFonts w:ascii="宋体" w:hAnsi="宋体" w:hint="eastAsia"/>
          <w:sz w:val="24"/>
        </w:rPr>
        <w:t>成交人应在供货同时向采购人提供所有有关本合同执行的技术文件。如果项目必需但合同又未作规定的要成交人才能提供的技术文件，成交人也应及时向采购人提供。技术文件可以是手册、说明、其他形式的文件资料。</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6</w:t>
      </w:r>
      <w:r>
        <w:rPr>
          <w:rFonts w:ascii="宋体" w:hAnsi="宋体" w:hint="eastAsia"/>
          <w:sz w:val="24"/>
        </w:rPr>
        <w:t>上述技术文件应包含保证采购人能够正确进行使用、检查、测试、验收的需要的所有内容。</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7.2.</w:t>
      </w:r>
      <w:r>
        <w:rPr>
          <w:rFonts w:ascii="宋体" w:hAnsi="宋体"/>
          <w:sz w:val="24"/>
        </w:rPr>
        <w:t>7</w:t>
      </w:r>
      <w:r>
        <w:rPr>
          <w:rFonts w:ascii="宋体" w:hAnsi="宋体" w:hint="eastAsia"/>
          <w:sz w:val="24"/>
        </w:rPr>
        <w:t>所有成交人提供的技术文件的全部费用已包含在合同总价中。</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7.3验收方案</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7.3.1到货验收：货物送至采购人安装现场后，成交人和采购人一同拆箱，对其全部货物、零件、配件的型号、规格、数量、外型、外观、包装进行到货验收。成交人应负责在项目验收时将系统的全部有关技术文件、资料、及安装、测试报告等文档汇集成册交付项目单位。如采购人因为基建施工等原因影响成交人进场安装，采购人应及时通知成交人，完工期可适当顺延。</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7.3.2最终验收</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采购人在收到成交人的验收申请后</w:t>
      </w:r>
      <w:r>
        <w:rPr>
          <w:rFonts w:ascii="宋体" w:hAnsi="宋体"/>
          <w:sz w:val="24"/>
          <w:u w:val="single"/>
        </w:rPr>
        <w:t>3</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工作日内，采购人和成交人共同进行设备的验收。采购人将成立项目验收小组，成员由采购人申购部门、使用部门、职能部门、资产部门、监督人员等相关人员组成。</w:t>
      </w:r>
    </w:p>
    <w:p w:rsidR="00FE4C4C" w:rsidRDefault="00F81DC4" w:rsidP="004816AA">
      <w:pPr>
        <w:tabs>
          <w:tab w:val="left" w:pos="0"/>
        </w:tabs>
        <w:adjustRightInd w:val="0"/>
        <w:spacing w:line="500" w:lineRule="exact"/>
        <w:ind w:firstLineChars="198" w:firstLine="477"/>
        <w:rPr>
          <w:rFonts w:asciiTheme="majorEastAsia" w:eastAsiaTheme="majorEastAsia" w:hAnsiTheme="majorEastAsia" w:cs="黑体"/>
          <w:b/>
          <w:sz w:val="24"/>
        </w:rPr>
      </w:pPr>
      <w:r>
        <w:rPr>
          <w:rFonts w:asciiTheme="majorEastAsia" w:eastAsiaTheme="majorEastAsia" w:hAnsiTheme="majorEastAsia" w:cs="黑体" w:hint="eastAsia"/>
          <w:b/>
          <w:sz w:val="24"/>
        </w:rPr>
        <w:t>8、知识产权：</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8.1成交人</w:t>
      </w:r>
      <w:proofErr w:type="gramStart"/>
      <w:r>
        <w:rPr>
          <w:rFonts w:ascii="宋体" w:hAnsi="宋体" w:hint="eastAsia"/>
          <w:sz w:val="24"/>
        </w:rPr>
        <w:t>须保障</w:t>
      </w:r>
      <w:proofErr w:type="gramEnd"/>
      <w:r>
        <w:rPr>
          <w:rFonts w:ascii="宋体" w:hAnsi="宋体" w:hint="eastAsia"/>
          <w:sz w:val="24"/>
        </w:rPr>
        <w:t>采购人在使用该货物或其任何一部分时不受到第三方关于侵犯专利权、商标权或工业设计权等知识产权的指控。如果任何第三方提出侵权指控与采购人无关，</w:t>
      </w:r>
      <w:r>
        <w:rPr>
          <w:rFonts w:ascii="宋体" w:hAnsi="宋体" w:hint="eastAsia"/>
          <w:sz w:val="24"/>
        </w:rPr>
        <w:lastRenderedPageBreak/>
        <w:t>成交人须与第三方交涉并承担可能发生的责任与一切费用；如采购人因此而遭致损失的，成交人应赔偿该损失。</w:t>
      </w:r>
    </w:p>
    <w:p w:rsidR="00FE4C4C" w:rsidRDefault="00F81DC4">
      <w:pPr>
        <w:tabs>
          <w:tab w:val="left" w:pos="900"/>
          <w:tab w:val="left" w:pos="1100"/>
        </w:tabs>
        <w:spacing w:line="520" w:lineRule="exact"/>
        <w:ind w:firstLineChars="196" w:firstLine="470"/>
      </w:pPr>
      <w:r>
        <w:rPr>
          <w:rFonts w:ascii="宋体" w:hAnsi="宋体" w:hint="eastAsia"/>
          <w:sz w:val="24"/>
        </w:rPr>
        <w:t>8.2成交人为执行本合同而提供的技术资料、软件，采购人有权进行使用，成交人不得主张任何费用。</w:t>
      </w:r>
    </w:p>
    <w:p w:rsidR="00FE4C4C" w:rsidRDefault="00F81DC4" w:rsidP="004816AA">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9、产权与风险转移：</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合同标的产权与风险转移遵守如下约定：</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9.1成交人交由承运人运输的在途货物，毁损、灭失的风险</w:t>
      </w:r>
      <w:proofErr w:type="gramStart"/>
      <w:r>
        <w:rPr>
          <w:rFonts w:ascii="宋体" w:hAnsi="宋体" w:hint="eastAsia"/>
          <w:sz w:val="24"/>
        </w:rPr>
        <w:t>由成交人</w:t>
      </w:r>
      <w:proofErr w:type="gramEnd"/>
      <w:r>
        <w:rPr>
          <w:rFonts w:ascii="宋体" w:hAnsi="宋体" w:hint="eastAsia"/>
          <w:sz w:val="24"/>
        </w:rPr>
        <w:t>承担。</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9.2.货物的产权以及损坏、灭失的风险在货物通过验收并交付使用前归属于成交人，在货物通过验收并交付使用时起由成交人转移至采购人。</w:t>
      </w:r>
    </w:p>
    <w:p w:rsidR="00FE4C4C" w:rsidRDefault="00F81DC4">
      <w:pPr>
        <w:tabs>
          <w:tab w:val="left" w:pos="900"/>
          <w:tab w:val="left" w:pos="1100"/>
        </w:tabs>
        <w:spacing w:line="520" w:lineRule="exact"/>
        <w:ind w:firstLineChars="196" w:firstLine="470"/>
        <w:rPr>
          <w:rFonts w:ascii="黑体" w:eastAsia="黑体" w:hAnsi="黑体" w:cs="黑体"/>
          <w:b/>
          <w:sz w:val="28"/>
          <w:szCs w:val="28"/>
        </w:rPr>
      </w:pPr>
      <w:r>
        <w:rPr>
          <w:rFonts w:ascii="宋体" w:hAnsi="宋体" w:hint="eastAsia"/>
          <w:sz w:val="24"/>
        </w:rPr>
        <w:t>9.3产权和风险的转移，不影响因成交人履行义务不符合约定，采购人要求其承担违约责任的权利。</w:t>
      </w:r>
    </w:p>
    <w:p w:rsidR="00FE4C4C" w:rsidRDefault="00F81DC4" w:rsidP="004816AA">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10、保密：</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10.1未经采购人事先书面同意，中标人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rsidR="00FE4C4C" w:rsidRDefault="00F81DC4">
      <w:pPr>
        <w:tabs>
          <w:tab w:val="left" w:pos="0"/>
        </w:tabs>
        <w:adjustRightInd w:val="0"/>
        <w:spacing w:line="440" w:lineRule="exact"/>
        <w:ind w:firstLineChars="200" w:firstLine="480"/>
        <w:rPr>
          <w:rFonts w:ascii="宋体" w:hAnsi="宋体"/>
          <w:sz w:val="24"/>
        </w:rPr>
      </w:pPr>
      <w:r>
        <w:rPr>
          <w:rFonts w:ascii="宋体" w:hAnsi="宋体" w:hint="eastAsia"/>
          <w:sz w:val="24"/>
        </w:rPr>
        <w:t>10.2除了合同本身之外，上款所列举的任何物件均是采购人的财产。如果采购人有要求，中标人在收到采购人的要求后10日内应将这些物件及全部复制件还给采购人，不得留存任何备份。</w:t>
      </w:r>
    </w:p>
    <w:p w:rsidR="00FE4C4C" w:rsidRDefault="00F81DC4">
      <w:pPr>
        <w:tabs>
          <w:tab w:val="left" w:pos="900"/>
          <w:tab w:val="left" w:pos="1100"/>
        </w:tabs>
        <w:spacing w:line="500" w:lineRule="exact"/>
        <w:ind w:firstLineChars="196" w:firstLine="470"/>
        <w:rPr>
          <w:rFonts w:ascii="宋体" w:hAnsi="宋体"/>
          <w:sz w:val="24"/>
        </w:rPr>
      </w:pPr>
      <w:r>
        <w:rPr>
          <w:rFonts w:ascii="宋体" w:hAnsi="宋体" w:hint="eastAsia"/>
          <w:sz w:val="24"/>
        </w:rPr>
        <w:t>10.3中标人违反本保密条款的，应支付合同总金额 5 %的违约金，并赔偿由此给采购人</w:t>
      </w:r>
    </w:p>
    <w:p w:rsidR="00FE4C4C" w:rsidRDefault="00F81DC4">
      <w:pPr>
        <w:tabs>
          <w:tab w:val="left" w:pos="900"/>
          <w:tab w:val="left" w:pos="1100"/>
        </w:tabs>
        <w:spacing w:line="500" w:lineRule="exact"/>
        <w:ind w:firstLineChars="196" w:firstLine="470"/>
        <w:rPr>
          <w:rFonts w:ascii="宋体" w:hAnsi="宋体" w:cs="黑体"/>
          <w:b/>
          <w:sz w:val="24"/>
        </w:rPr>
      </w:pPr>
      <w:r>
        <w:rPr>
          <w:rFonts w:ascii="宋体" w:hAnsi="宋体" w:hint="eastAsia"/>
          <w:sz w:val="24"/>
        </w:rPr>
        <w:t>11</w:t>
      </w:r>
      <w:r>
        <w:rPr>
          <w:rFonts w:ascii="宋体" w:hAnsi="宋体" w:cs="黑体" w:hint="eastAsia"/>
          <w:b/>
          <w:sz w:val="24"/>
        </w:rPr>
        <w:t>、违约责任：</w:t>
      </w:r>
    </w:p>
    <w:p w:rsidR="00FE4C4C" w:rsidRDefault="00F81DC4">
      <w:pPr>
        <w:spacing w:line="500" w:lineRule="exact"/>
        <w:ind w:firstLineChars="200" w:firstLine="480"/>
        <w:rPr>
          <w:rFonts w:asciiTheme="minorEastAsia" w:hAnsiTheme="minorEastAsia" w:cs="仿宋"/>
          <w:sz w:val="24"/>
        </w:rPr>
      </w:pPr>
      <w:bookmarkStart w:id="3" w:name="_Toc97708365"/>
      <w:r>
        <w:rPr>
          <w:rFonts w:asciiTheme="minorEastAsia" w:hAnsiTheme="minorEastAsia" w:cs="仿宋"/>
          <w:sz w:val="24"/>
        </w:rPr>
        <w:t>1</w:t>
      </w:r>
      <w:r>
        <w:rPr>
          <w:rFonts w:asciiTheme="minorEastAsia" w:hAnsiTheme="minorEastAsia" w:cs="仿宋" w:hint="eastAsia"/>
          <w:sz w:val="24"/>
        </w:rPr>
        <w:t>1.1交货不符合约定或存在缺陷的</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hint="eastAsia"/>
          <w:sz w:val="24"/>
        </w:rPr>
        <w:t>成交人对所供货物与合同要求不符负有责任，如经检验证实不符或缺陷存在的，包括潜在的缺陷或使用不合适的原料等，采购人可根据本合同有关质量保证或检验、验收的规定，选择下述一种或多种结合的方法解决索赔事宜：</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sz w:val="24"/>
        </w:rPr>
        <w:t>1</w:t>
      </w:r>
      <w:r>
        <w:rPr>
          <w:rFonts w:asciiTheme="minorEastAsia" w:hAnsiTheme="minorEastAsia" w:cs="仿宋" w:hint="eastAsia"/>
          <w:sz w:val="24"/>
        </w:rPr>
        <w:t>1.1.1采购人要求退货并解除合同的，成交人应承担因退货而发生的一切损失和费用，包括利息、银行手续费、运费、保险费、检验费、仓储费、装卸费以及为保管、维护和退回被拒收货物所发生的其它必要费用，且还应向采购人支付合同金额 5 %的违约金。</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sz w:val="24"/>
        </w:rPr>
        <w:lastRenderedPageBreak/>
        <w:t>1</w:t>
      </w:r>
      <w:r>
        <w:rPr>
          <w:rFonts w:asciiTheme="minorEastAsia" w:hAnsiTheme="minorEastAsia" w:cs="仿宋" w:hint="eastAsia"/>
          <w:sz w:val="24"/>
        </w:rPr>
        <w:t>1.1.2成交人收到采购人书面索赔通知后7天内，未给采购人答复的，视为索赔已</w:t>
      </w:r>
      <w:proofErr w:type="gramStart"/>
      <w:r>
        <w:rPr>
          <w:rFonts w:asciiTheme="minorEastAsia" w:hAnsiTheme="minorEastAsia" w:cs="仿宋" w:hint="eastAsia"/>
          <w:sz w:val="24"/>
        </w:rPr>
        <w:t>被成交人</w:t>
      </w:r>
      <w:proofErr w:type="gramEnd"/>
      <w:r>
        <w:rPr>
          <w:rFonts w:asciiTheme="minorEastAsia" w:hAnsiTheme="minorEastAsia" w:cs="仿宋" w:hint="eastAsia"/>
          <w:sz w:val="24"/>
        </w:rPr>
        <w:t>接受。采购人将有权从成交人履约保证金中扣除相关索赔金额，同时保留进一步要求索赔的权利。</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sz w:val="24"/>
        </w:rPr>
        <w:t>1</w:t>
      </w:r>
      <w:r>
        <w:rPr>
          <w:rFonts w:asciiTheme="minorEastAsia" w:hAnsiTheme="minorEastAsia" w:cs="仿宋" w:hint="eastAsia"/>
          <w:sz w:val="24"/>
        </w:rPr>
        <w:t>1.2逾期交货及逾期付款的赔偿</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sz w:val="24"/>
        </w:rPr>
        <w:t>1</w:t>
      </w:r>
      <w:r>
        <w:rPr>
          <w:rFonts w:asciiTheme="minorEastAsia" w:hAnsiTheme="minorEastAsia" w:cs="仿宋" w:hint="eastAsia"/>
          <w:sz w:val="24"/>
        </w:rPr>
        <w:t>1.2.1除不可抗力因素外，如果成交人不能按照合同规定的时间交付和提供服务，应及时以书面形式将逾期的事实、可能逾期的时间和原因通知采购人。采购人收到成交人通知后，将尽快</w:t>
      </w:r>
      <w:proofErr w:type="gramStart"/>
      <w:r>
        <w:rPr>
          <w:rFonts w:asciiTheme="minorEastAsia" w:hAnsiTheme="minorEastAsia" w:cs="仿宋" w:hint="eastAsia"/>
          <w:sz w:val="24"/>
        </w:rPr>
        <w:t>作出</w:t>
      </w:r>
      <w:proofErr w:type="gramEnd"/>
      <w:r>
        <w:rPr>
          <w:rFonts w:asciiTheme="minorEastAsia" w:hAnsiTheme="minorEastAsia" w:cs="仿宋" w:hint="eastAsia"/>
          <w:sz w:val="24"/>
        </w:rPr>
        <w:t>评价，决定是否同意延长交货期及收取逾期赔偿费，逾期赔偿费的金额为采购人所遭受的所有损失。采购人在不影响合同项下的其它补救措施情况下，可从合同未付款中扣除逾期违约金，违约金按未交付货物价款的2％/天计算，逾期期限一旦达到30天，采购人有权解除合同，且成交人仍应按合同约定支付违约金。违约金的支付不影响采购人向成交人要求损害赔偿。</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sz w:val="24"/>
        </w:rPr>
        <w:t>1</w:t>
      </w:r>
      <w:r>
        <w:rPr>
          <w:rFonts w:asciiTheme="minorEastAsia" w:hAnsiTheme="minorEastAsia" w:cs="仿宋" w:hint="eastAsia"/>
          <w:sz w:val="24"/>
        </w:rPr>
        <w:t>1.2.2成交人未按约定提供售后服务、购买保险或给第三方造成损害的：</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sz w:val="24"/>
        </w:rPr>
        <w:t>1</w:t>
      </w:r>
      <w:r>
        <w:rPr>
          <w:rFonts w:asciiTheme="minorEastAsia" w:hAnsiTheme="minorEastAsia" w:cs="仿宋" w:hint="eastAsia"/>
          <w:sz w:val="24"/>
        </w:rPr>
        <w:t>1.2.2.1如果成交人未能按照合同约定的时间提供售后服务的，每逾期1天，成交人应向采购人支付合同总额 2％的违约金，若因此给采购人造成损失的，成交人还应赔偿采购人所受的损失。</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hint="eastAsia"/>
          <w:sz w:val="24"/>
        </w:rPr>
        <w:t>保修期内，成交人未尽保修义务的，采购人可自行寻求解决，成交人应承</w:t>
      </w:r>
      <w:proofErr w:type="gramStart"/>
      <w:r>
        <w:rPr>
          <w:rFonts w:asciiTheme="minorEastAsia" w:hAnsiTheme="minorEastAsia" w:cs="仿宋" w:hint="eastAsia"/>
          <w:sz w:val="24"/>
        </w:rPr>
        <w:t>担自采购</w:t>
      </w:r>
      <w:proofErr w:type="gramEnd"/>
      <w:r>
        <w:rPr>
          <w:rFonts w:asciiTheme="minorEastAsia" w:hAnsiTheme="minorEastAsia" w:cs="仿宋" w:hint="eastAsia"/>
          <w:sz w:val="24"/>
        </w:rPr>
        <w:t>人提出故障申告至采购人自行解决相应故障期间内的违约金并赔偿采购人损失，采购人由此产生的费用，</w:t>
      </w:r>
      <w:proofErr w:type="gramStart"/>
      <w:r>
        <w:rPr>
          <w:rFonts w:asciiTheme="minorEastAsia" w:hAnsiTheme="minorEastAsia" w:cs="仿宋" w:hint="eastAsia"/>
          <w:sz w:val="24"/>
        </w:rPr>
        <w:t>由成交人</w:t>
      </w:r>
      <w:proofErr w:type="gramEnd"/>
      <w:r>
        <w:rPr>
          <w:rFonts w:asciiTheme="minorEastAsia" w:hAnsiTheme="minorEastAsia" w:cs="仿宋" w:hint="eastAsia"/>
          <w:sz w:val="24"/>
        </w:rPr>
        <w:t>承担。</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sz w:val="24"/>
        </w:rPr>
        <w:t>1</w:t>
      </w:r>
      <w:r>
        <w:rPr>
          <w:rFonts w:asciiTheme="minorEastAsia" w:hAnsiTheme="minorEastAsia" w:cs="仿宋" w:hint="eastAsia"/>
          <w:sz w:val="24"/>
        </w:rPr>
        <w:t>1.2.2.2如果成交人未按约定购买保险的，除应继续履行购买保险的义务外，还应按照本合同总额的 5 %支付违约金。</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sz w:val="24"/>
        </w:rPr>
        <w:t>11</w:t>
      </w:r>
      <w:r>
        <w:rPr>
          <w:rFonts w:asciiTheme="minorEastAsia" w:hAnsiTheme="minorEastAsia" w:cs="仿宋" w:hint="eastAsia"/>
          <w:sz w:val="24"/>
        </w:rPr>
        <w:t>.2.3采购人逾期付款的(有正当拒付理由的除外)应按照逾期金额的每日0.5％支付逾期付款违约金。</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11.3因成交人管理不当，致使货物的生产、包装、仓储、运输、装卸、安装、调试及验收过程中导致第三方权益受损的(如安全事故)，成交人除应赔偿第三方相应的损失外，还应向采购人支付本合同总额 5 %的违约金。</w:t>
      </w:r>
    </w:p>
    <w:p w:rsidR="00FE4C4C" w:rsidRDefault="00F81DC4">
      <w:pPr>
        <w:spacing w:line="500" w:lineRule="exact"/>
        <w:ind w:firstLineChars="200" w:firstLine="480"/>
        <w:rPr>
          <w:rFonts w:asciiTheme="minorEastAsia" w:hAnsiTheme="minorEastAsia" w:cs="仿宋"/>
          <w:sz w:val="24"/>
        </w:rPr>
      </w:pPr>
      <w:r>
        <w:rPr>
          <w:rFonts w:asciiTheme="minorEastAsia" w:hAnsiTheme="minorEastAsia" w:cs="仿宋" w:hint="eastAsia"/>
          <w:sz w:val="24"/>
        </w:rPr>
        <w:t>11.4产品在安装及后续运行过程中，若因为产品质量问题导致人员受伤，相关责任</w:t>
      </w:r>
      <w:proofErr w:type="gramStart"/>
      <w:r>
        <w:rPr>
          <w:rFonts w:asciiTheme="minorEastAsia" w:hAnsiTheme="minorEastAsia" w:cs="仿宋" w:hint="eastAsia"/>
          <w:sz w:val="24"/>
        </w:rPr>
        <w:t>由成交人</w:t>
      </w:r>
      <w:proofErr w:type="gramEnd"/>
      <w:r>
        <w:rPr>
          <w:rFonts w:asciiTheme="minorEastAsia" w:hAnsiTheme="minorEastAsia" w:cs="仿宋" w:hint="eastAsia"/>
          <w:sz w:val="24"/>
        </w:rPr>
        <w:t>承担，若因此造成采购人损失的，采购人有权向成交人要求赔偿(包括但不限于赔偿损失、诉讼费、律师费等)。</w:t>
      </w:r>
    </w:p>
    <w:p w:rsidR="00FE4C4C" w:rsidRDefault="00F81DC4">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FE4C4C" w:rsidRDefault="00F81DC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FE4C4C" w:rsidRDefault="00F81DC4">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FE4C4C" w:rsidRDefault="00FE4C4C">
      <w:pPr>
        <w:pStyle w:val="NormalIndent"/>
        <w:spacing w:line="500" w:lineRule="exact"/>
        <w:rPr>
          <w:rFonts w:asciiTheme="majorEastAsia" w:eastAsiaTheme="majorEastAsia" w:hAnsiTheme="majorEastAsia"/>
          <w:sz w:val="24"/>
          <w:szCs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81DC4">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FE4C4C" w:rsidRDefault="00FE4C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FE4C4C" w:rsidRDefault="00FE4C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FE4C4C" w:rsidRDefault="00FE4C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FE4C4C" w:rsidRDefault="00F81DC4">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FE4C4C" w:rsidRDefault="00F81DC4">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FE4C4C" w:rsidRDefault="00F81DC4">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FE4C4C" w:rsidRDefault="00FE4C4C">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FE4C4C" w:rsidRDefault="00F81DC4">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UserStyle12"/>
        <w:spacing w:line="500" w:lineRule="exact"/>
        <w:jc w:val="center"/>
        <w:rPr>
          <w:rStyle w:val="NormalCharacter"/>
          <w:rFonts w:asciiTheme="majorEastAsia" w:eastAsiaTheme="majorEastAsia" w:hAnsiTheme="majorEastAsia"/>
          <w:b/>
          <w:color w:val="000000" w:themeColor="text1"/>
          <w:sz w:val="24"/>
        </w:rPr>
      </w:pPr>
    </w:p>
    <w:p w:rsidR="00FE4C4C" w:rsidRDefault="00F81DC4">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FE4C4C" w:rsidRDefault="00F81DC4">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FE4C4C" w:rsidRDefault="00FE4C4C">
      <w:pPr>
        <w:pStyle w:val="UserStyle12"/>
        <w:spacing w:line="500" w:lineRule="exact"/>
        <w:rPr>
          <w:rStyle w:val="NormalCharacter"/>
          <w:rFonts w:asciiTheme="majorEastAsia" w:eastAsiaTheme="majorEastAsia" w:hAnsiTheme="majorEastAsia"/>
          <w:b/>
          <w:color w:val="000000" w:themeColor="text1"/>
          <w:sz w:val="24"/>
        </w:rPr>
      </w:pPr>
    </w:p>
    <w:p w:rsidR="00FE4C4C" w:rsidRDefault="00F81DC4">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FE4C4C" w:rsidRDefault="00F81DC4">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FE4C4C" w:rsidRDefault="00F81DC4">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FE4C4C" w:rsidRDefault="00F81DC4">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FE4C4C" w:rsidRDefault="00F81DC4">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FE4C4C" w:rsidRDefault="00FE4C4C">
      <w:pPr>
        <w:spacing w:line="500" w:lineRule="exact"/>
        <w:jc w:val="left"/>
        <w:textAlignment w:val="auto"/>
        <w:rPr>
          <w:rStyle w:val="NormalCharacter"/>
          <w:rFonts w:asciiTheme="majorEastAsia" w:eastAsiaTheme="majorEastAsia" w:hAnsiTheme="majorEastAsia"/>
          <w:b/>
          <w:color w:val="000000" w:themeColor="text1"/>
          <w:sz w:val="24"/>
        </w:rPr>
      </w:pPr>
    </w:p>
    <w:p w:rsidR="00FE4C4C" w:rsidRDefault="00F81DC4">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FE4C4C" w:rsidRDefault="00F81DC4">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81DC4">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FE4C4C" w:rsidRDefault="00F81DC4">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FE4C4C" w:rsidRDefault="00FE4C4C">
      <w:pPr>
        <w:spacing w:line="500" w:lineRule="exact"/>
        <w:ind w:firstLineChars="200" w:firstLine="480"/>
        <w:rPr>
          <w:rStyle w:val="NormalCharacter"/>
          <w:rFonts w:asciiTheme="majorEastAsia" w:eastAsiaTheme="majorEastAsia" w:hAnsiTheme="majorEastAsia"/>
          <w:color w:val="000000" w:themeColor="text1"/>
          <w:sz w:val="24"/>
        </w:rPr>
      </w:pPr>
    </w:p>
    <w:p w:rsidR="00FE4C4C" w:rsidRDefault="00F81DC4" w:rsidP="004816AA">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81DC4">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FE4C4C" w:rsidRDefault="00F81DC4">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spacing w:line="500" w:lineRule="exact"/>
        <w:jc w:val="center"/>
        <w:rPr>
          <w:rStyle w:val="NormalCharacter"/>
          <w:rFonts w:asciiTheme="majorEastAsia" w:eastAsiaTheme="majorEastAsia" w:hAnsiTheme="majorEastAsia"/>
          <w:b/>
          <w:color w:val="000000" w:themeColor="text1"/>
          <w:sz w:val="24"/>
        </w:rPr>
      </w:pPr>
    </w:p>
    <w:p w:rsidR="00FE4C4C" w:rsidRDefault="00F81DC4">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E4C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FE4C4C" w:rsidRDefault="00FE4C4C">
      <w:pPr>
        <w:spacing w:line="500" w:lineRule="exact"/>
        <w:rPr>
          <w:rStyle w:val="NormalCharacter"/>
          <w:rFonts w:asciiTheme="majorEastAsia" w:eastAsiaTheme="majorEastAsia" w:hAnsiTheme="majorEastAsia"/>
          <w:color w:val="000000" w:themeColor="text1"/>
          <w:sz w:val="24"/>
        </w:rPr>
      </w:pPr>
    </w:p>
    <w:p w:rsidR="00FE4C4C" w:rsidRDefault="00F81DC4">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FE4C4C" w:rsidRDefault="00F81DC4">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FE4C4C" w:rsidRDefault="00FE4C4C">
      <w:pPr>
        <w:spacing w:line="500" w:lineRule="exact"/>
        <w:jc w:val="center"/>
        <w:rPr>
          <w:rStyle w:val="NormalCharacter"/>
          <w:rFonts w:asciiTheme="majorEastAsia" w:eastAsiaTheme="majorEastAsia" w:hAnsiTheme="majorEastAsia"/>
          <w:b/>
          <w:color w:val="000000" w:themeColor="text1"/>
          <w:sz w:val="24"/>
        </w:rPr>
      </w:pPr>
    </w:p>
    <w:p w:rsidR="00FE4C4C" w:rsidRDefault="00F81DC4">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FE4C4C" w:rsidRDefault="00F81DC4">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FE4C4C" w:rsidRDefault="00F81DC4">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FE4C4C" w:rsidRDefault="00FE4C4C">
      <w:pPr>
        <w:pStyle w:val="PlainText"/>
        <w:spacing w:line="500" w:lineRule="exact"/>
        <w:rPr>
          <w:rStyle w:val="NormalCharacter"/>
          <w:rFonts w:asciiTheme="majorEastAsia" w:eastAsiaTheme="majorEastAsia" w:hAnsiTheme="majorEastAsia"/>
          <w:b/>
          <w:color w:val="000000" w:themeColor="text1"/>
          <w:sz w:val="24"/>
        </w:rPr>
      </w:pPr>
    </w:p>
    <w:p w:rsidR="00FE4C4C" w:rsidRDefault="00FE4C4C">
      <w:pPr>
        <w:pStyle w:val="PlainText"/>
        <w:spacing w:line="500" w:lineRule="exact"/>
        <w:rPr>
          <w:rStyle w:val="NormalCharacter"/>
          <w:rFonts w:asciiTheme="majorEastAsia" w:eastAsiaTheme="majorEastAsia" w:hAnsiTheme="majorEastAsia"/>
          <w:b/>
          <w:color w:val="000000" w:themeColor="text1"/>
          <w:sz w:val="24"/>
        </w:rPr>
      </w:pPr>
    </w:p>
    <w:p w:rsidR="00FE4C4C" w:rsidRDefault="00F81DC4" w:rsidP="004816AA">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FE4C4C" w:rsidRDefault="00F81DC4" w:rsidP="004816AA">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FE4C4C" w:rsidRDefault="00F81DC4" w:rsidP="004816AA">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FE4C4C" w:rsidRDefault="00F81DC4">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FE4C4C" w:rsidRDefault="00F81DC4" w:rsidP="004816AA">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FE4C4C" w:rsidRDefault="00FE4C4C">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FE4C4C">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FE4C4C" w:rsidRDefault="00F81DC4">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FE4C4C">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r w:rsidR="00FE4C4C">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FE4C4C" w:rsidRDefault="00FE4C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Style w:val="NormalCharacter"/>
                <w:rFonts w:asciiTheme="majorEastAsia" w:eastAsiaTheme="majorEastAsia" w:hAnsiTheme="majorEastAsia"/>
                <w:color w:val="000000" w:themeColor="text1"/>
                <w:sz w:val="24"/>
              </w:rPr>
            </w:pPr>
          </w:p>
        </w:tc>
      </w:tr>
    </w:tbl>
    <w:p w:rsidR="00FE4C4C" w:rsidRDefault="00F81DC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FE4C4C" w:rsidRDefault="00FE4C4C">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FE4C4C" w:rsidRDefault="00F81DC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FE4C4C" w:rsidRDefault="00F81DC4">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FE4C4C" w:rsidRDefault="00F81DC4">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FE4C4C" w:rsidRDefault="00F81DC4">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FE4C4C" w:rsidRDefault="00F81DC4">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FE4C4C" w:rsidRDefault="00FE4C4C">
      <w:pPr>
        <w:spacing w:line="500" w:lineRule="exact"/>
        <w:jc w:val="center"/>
        <w:rPr>
          <w:rFonts w:asciiTheme="majorEastAsia" w:eastAsiaTheme="majorEastAsia" w:hAnsiTheme="majorEastAsia"/>
          <w:sz w:val="24"/>
        </w:rPr>
      </w:pPr>
    </w:p>
    <w:p w:rsidR="00FE4C4C" w:rsidRDefault="00F81DC4">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FE4C4C" w:rsidRDefault="00F81DC4">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FE4C4C" w:rsidRDefault="00F81DC4">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FE4C4C" w:rsidRDefault="00F81DC4">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FE4C4C" w:rsidRDefault="00F81DC4">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FE4C4C" w:rsidRDefault="00F81DC4">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FE4C4C" w:rsidRDefault="00F81DC4">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FE4C4C" w:rsidRDefault="00FE4C4C">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FE4C4C" w:rsidRDefault="00F81DC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FE4C4C" w:rsidRDefault="00FE4C4C">
      <w:pPr>
        <w:spacing w:line="500" w:lineRule="exact"/>
        <w:jc w:val="center"/>
        <w:rPr>
          <w:rStyle w:val="NormalCharacter"/>
          <w:rFonts w:asciiTheme="majorEastAsia" w:eastAsiaTheme="majorEastAsia" w:hAnsiTheme="majorEastAsia"/>
          <w:b/>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b/>
          <w:color w:val="000000" w:themeColor="text1"/>
          <w:sz w:val="24"/>
          <w:szCs w:val="24"/>
        </w:rPr>
      </w:pPr>
    </w:p>
    <w:p w:rsidR="00FE4C4C" w:rsidRDefault="00F81DC4">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E4C4C">
      <w:pPr>
        <w:pStyle w:val="BodyTextIndent"/>
        <w:spacing w:after="0" w:line="500" w:lineRule="exact"/>
        <w:rPr>
          <w:rStyle w:val="NormalCharacter"/>
          <w:rFonts w:asciiTheme="majorEastAsia" w:eastAsiaTheme="majorEastAsia" w:hAnsiTheme="majorEastAsia"/>
          <w:color w:val="000000" w:themeColor="text1"/>
          <w:sz w:val="24"/>
        </w:rPr>
      </w:pPr>
    </w:p>
    <w:p w:rsidR="00FE4C4C" w:rsidRDefault="00FE4C4C">
      <w:pPr>
        <w:pStyle w:val="NormalIndent"/>
        <w:spacing w:line="500" w:lineRule="exact"/>
        <w:rPr>
          <w:rStyle w:val="NormalCharacter"/>
          <w:rFonts w:asciiTheme="majorEastAsia" w:eastAsiaTheme="majorEastAsia" w:hAnsiTheme="majorEastAsia"/>
          <w:color w:val="000000" w:themeColor="text1"/>
          <w:sz w:val="24"/>
          <w:szCs w:val="24"/>
        </w:rPr>
      </w:pPr>
    </w:p>
    <w:p w:rsidR="00FE4C4C" w:rsidRDefault="00F81DC4">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FE4C4C" w:rsidRDefault="00F81DC4">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FE4C4C" w:rsidRDefault="00F81DC4" w:rsidP="004816AA">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FE4C4C" w:rsidRDefault="00F81DC4">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FE4C4C" w:rsidRDefault="00F81DC4" w:rsidP="004816AA">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FE4C4C" w:rsidRDefault="00F81DC4">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FE4C4C" w:rsidRDefault="00F81DC4">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FE4C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FE4C4C" w:rsidRDefault="00F81DC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FE4C4C" w:rsidRDefault="00F81DC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FE4C4C">
        <w:trPr>
          <w:trHeight w:val="340"/>
        </w:trPr>
        <w:tc>
          <w:tcPr>
            <w:tcW w:w="325" w:type="pct"/>
            <w:vMerge w:val="restart"/>
            <w:tcBorders>
              <w:top w:val="single" w:sz="4" w:space="0" w:color="000000"/>
              <w:left w:val="single" w:sz="4" w:space="0" w:color="000000"/>
              <w:right w:val="single" w:sz="4" w:space="0" w:color="000000"/>
            </w:tcBorders>
            <w:vAlign w:val="center"/>
          </w:tcPr>
          <w:p w:rsidR="00FE4C4C" w:rsidRDefault="00F81DC4">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FE4C4C" w:rsidRDefault="00F81DC4">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FE4C4C">
        <w:trPr>
          <w:trHeight w:val="340"/>
        </w:trPr>
        <w:tc>
          <w:tcPr>
            <w:tcW w:w="325" w:type="pct"/>
            <w:vMerge/>
            <w:tcBorders>
              <w:left w:val="single" w:sz="4" w:space="0" w:color="000000"/>
              <w:right w:val="single" w:sz="4" w:space="0" w:color="000000"/>
            </w:tcBorders>
            <w:vAlign w:val="center"/>
          </w:tcPr>
          <w:p w:rsidR="00FE4C4C" w:rsidRDefault="00FE4C4C">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FE4C4C" w:rsidRDefault="00F81DC4">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FE4C4C">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FE4C4C" w:rsidRDefault="00F81DC4">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FE4C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FE4C4C" w:rsidRDefault="00F81DC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FE4C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FE4C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FE4C4C" w:rsidRDefault="00F81DC4">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FE4C4C" w:rsidRDefault="00FE4C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FE4C4C" w:rsidRDefault="00FE4C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FE4C4C" w:rsidRDefault="00F81DC4">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FE4C4C" w:rsidRDefault="00F81DC4">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FE4C4C" w:rsidRDefault="00F81DC4">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FE4C4C">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0365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DC4" w:rsidRDefault="00F81DC4">
      <w:r>
        <w:separator/>
      </w:r>
    </w:p>
  </w:endnote>
  <w:endnote w:type="continuationSeparator" w:id="0">
    <w:p w:rsidR="00F81DC4" w:rsidRDefault="00F8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FE4C4C" w:rsidRDefault="00F81DC4">
        <w:pPr>
          <w:pStyle w:val="ab"/>
          <w:jc w:val="center"/>
        </w:pPr>
        <w:r>
          <w:fldChar w:fldCharType="begin"/>
        </w:r>
        <w:r>
          <w:instrText xml:space="preserve"> PAGE   \* MERGEFORMAT </w:instrText>
        </w:r>
        <w:r>
          <w:fldChar w:fldCharType="separate"/>
        </w:r>
        <w:r w:rsidR="003505A7" w:rsidRPr="003505A7">
          <w:rPr>
            <w:noProof/>
            <w:lang w:val="zh-CN"/>
          </w:rPr>
          <w:t>6</w:t>
        </w:r>
        <w:r>
          <w:rPr>
            <w:lang w:val="zh-CN"/>
          </w:rPr>
          <w:fldChar w:fldCharType="end"/>
        </w:r>
      </w:p>
    </w:sdtContent>
  </w:sdt>
  <w:p w:rsidR="00FE4C4C" w:rsidRDefault="00FE4C4C">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C4C" w:rsidRDefault="00F81DC4">
    <w:pPr>
      <w:pStyle w:val="ab"/>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E4C4C" w:rsidRDefault="00FE4C4C">
                          <w:pPr>
                            <w:pStyle w:val="ab"/>
                            <w:jc w:val="center"/>
                            <w:rPr>
                              <w:rStyle w:val="NormalCharacter"/>
                            </w:rPr>
                          </w:pPr>
                        </w:p>
                        <w:p w:rsidR="00FE4C4C" w:rsidRDefault="00FE4C4C">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FE4C4C" w:rsidRDefault="00FE4C4C">
                    <w:pPr>
                      <w:pStyle w:val="ab"/>
                      <w:jc w:val="center"/>
                      <w:rPr>
                        <w:rStyle w:val="NormalCharacter"/>
                      </w:rPr>
                    </w:pPr>
                  </w:p>
                  <w:p w:rsidR="00FE4C4C" w:rsidRDefault="00FE4C4C">
                    <w:pPr>
                      <w:rPr>
                        <w:rStyle w:val="NormalCharacter"/>
                      </w:rPr>
                    </w:pPr>
                  </w:p>
                </w:txbxContent>
              </v:textbox>
              <w10:wrap anchorx="margin"/>
            </v:shape>
          </w:pict>
        </mc:Fallback>
      </mc:AlternateContent>
    </w:r>
  </w:p>
  <w:p w:rsidR="00FE4C4C" w:rsidRDefault="00FE4C4C">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DC4" w:rsidRDefault="00F81DC4">
      <w:r>
        <w:separator/>
      </w:r>
    </w:p>
  </w:footnote>
  <w:footnote w:type="continuationSeparator" w:id="0">
    <w:p w:rsidR="00F81DC4" w:rsidRDefault="00F81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C4C" w:rsidRDefault="00F81DC4">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C4C" w:rsidRDefault="00F81DC4">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林丽">
    <w15:presenceInfo w15:providerId="None" w15:userId="张林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1CC1"/>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54FB"/>
    <w:rsid w:val="002D631F"/>
    <w:rsid w:val="002D7230"/>
    <w:rsid w:val="002E6042"/>
    <w:rsid w:val="002E7F9A"/>
    <w:rsid w:val="002F5851"/>
    <w:rsid w:val="002F72F8"/>
    <w:rsid w:val="0030751C"/>
    <w:rsid w:val="00322B70"/>
    <w:rsid w:val="00326D27"/>
    <w:rsid w:val="00345661"/>
    <w:rsid w:val="003505A7"/>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6E1C"/>
    <w:rsid w:val="005B7269"/>
    <w:rsid w:val="005C1BE1"/>
    <w:rsid w:val="005D7906"/>
    <w:rsid w:val="005E182C"/>
    <w:rsid w:val="005E4194"/>
    <w:rsid w:val="005F3209"/>
    <w:rsid w:val="006019F4"/>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972CB"/>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57F5D"/>
    <w:rsid w:val="00A62085"/>
    <w:rsid w:val="00A70E7A"/>
    <w:rsid w:val="00A72AA3"/>
    <w:rsid w:val="00A745C1"/>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93DA9"/>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74148"/>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22C1"/>
    <w:rsid w:val="00E9375D"/>
    <w:rsid w:val="00E9670E"/>
    <w:rsid w:val="00EA029B"/>
    <w:rsid w:val="00EA4887"/>
    <w:rsid w:val="00EE15B3"/>
    <w:rsid w:val="00EE207E"/>
    <w:rsid w:val="00EE2B04"/>
    <w:rsid w:val="00F03D93"/>
    <w:rsid w:val="00F06255"/>
    <w:rsid w:val="00F12C0A"/>
    <w:rsid w:val="00F1352D"/>
    <w:rsid w:val="00F14072"/>
    <w:rsid w:val="00F16C3F"/>
    <w:rsid w:val="00F2224F"/>
    <w:rsid w:val="00F31532"/>
    <w:rsid w:val="00F34C17"/>
    <w:rsid w:val="00F34EAD"/>
    <w:rsid w:val="00F3658C"/>
    <w:rsid w:val="00F44F45"/>
    <w:rsid w:val="00F519EC"/>
    <w:rsid w:val="00F5223D"/>
    <w:rsid w:val="00F530E4"/>
    <w:rsid w:val="00F612F4"/>
    <w:rsid w:val="00F64315"/>
    <w:rsid w:val="00F676DD"/>
    <w:rsid w:val="00F81DC4"/>
    <w:rsid w:val="00F90EE1"/>
    <w:rsid w:val="00F914A1"/>
    <w:rsid w:val="00F9181C"/>
    <w:rsid w:val="00FA0F4E"/>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D9D76FF"/>
    <w:rsid w:val="15C40D87"/>
    <w:rsid w:val="17347C07"/>
    <w:rsid w:val="189F4369"/>
    <w:rsid w:val="222F179D"/>
    <w:rsid w:val="22386D6C"/>
    <w:rsid w:val="23B714C6"/>
    <w:rsid w:val="255C1C20"/>
    <w:rsid w:val="270A14E4"/>
    <w:rsid w:val="276C3EAC"/>
    <w:rsid w:val="2A121864"/>
    <w:rsid w:val="2A9507F7"/>
    <w:rsid w:val="2BFC409B"/>
    <w:rsid w:val="305E51F8"/>
    <w:rsid w:val="3167139E"/>
    <w:rsid w:val="3D850F09"/>
    <w:rsid w:val="3DF54C9C"/>
    <w:rsid w:val="3EB0029C"/>
    <w:rsid w:val="401F555E"/>
    <w:rsid w:val="42173716"/>
    <w:rsid w:val="435C2D18"/>
    <w:rsid w:val="46257B31"/>
    <w:rsid w:val="464F7E56"/>
    <w:rsid w:val="4824595F"/>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CC8D6-9885-42F9-907A-8E0567AC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1629</Words>
  <Characters>9290</Characters>
  <Application>Microsoft Office Word</Application>
  <DocSecurity>0</DocSecurity>
  <Lines>77</Lines>
  <Paragraphs>21</Paragraphs>
  <ScaleCrop>false</ScaleCrop>
  <Company>china</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91</cp:revision>
  <cp:lastPrinted>2022-11-03T09:24:00Z</cp:lastPrinted>
  <dcterms:created xsi:type="dcterms:W3CDTF">2022-08-19T03:12:00Z</dcterms:created>
  <dcterms:modified xsi:type="dcterms:W3CDTF">2022-12-09T00:42:00Z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1BDEC1BF06F44D978818A8B1F24B59C4</vt:lpwstr>
  </property>
</Properties>
</file>