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F0CD5D">
      <w:pPr>
        <w:spacing w:line="1500" w:lineRule="exact"/>
        <w:rPr>
          <w:rStyle w:val="26"/>
          <w:rFonts w:ascii="宋体" w:hAnsi="宋体" w:cs="宋体"/>
          <w:b/>
          <w:bCs/>
          <w:color w:val="000000" w:themeColor="text1"/>
          <w:sz w:val="72"/>
          <w:szCs w:val="72"/>
          <w:lang w:val="zh-CN"/>
          <w14:textFill>
            <w14:solidFill>
              <w14:schemeClr w14:val="tx1"/>
            </w14:solidFill>
          </w14:textFill>
        </w:rPr>
      </w:pPr>
    </w:p>
    <w:p w14:paraId="46E6ACC6">
      <w:pPr>
        <w:pStyle w:val="54"/>
        <w:rPr>
          <w:rStyle w:val="26"/>
          <w:rFonts w:ascii="宋体" w:hAnsi="宋体" w:cs="宋体"/>
          <w:color w:val="000000" w:themeColor="text1"/>
          <w:lang w:val="zh-CN"/>
          <w14:textFill>
            <w14:solidFill>
              <w14:schemeClr w14:val="tx1"/>
            </w14:solidFill>
          </w14:textFill>
        </w:rPr>
      </w:pPr>
    </w:p>
    <w:p w14:paraId="6C548689">
      <w:pPr>
        <w:spacing w:line="1400" w:lineRule="exact"/>
        <w:jc w:val="center"/>
        <w:rPr>
          <w:rStyle w:val="26"/>
          <w:rFonts w:ascii="宋体" w:hAnsi="宋体" w:cs="宋体"/>
          <w:b/>
          <w:bCs/>
          <w:color w:val="000000" w:themeColor="text1"/>
          <w:sz w:val="96"/>
          <w:szCs w:val="96"/>
          <w14:textFill>
            <w14:solidFill>
              <w14:schemeClr w14:val="tx1"/>
            </w14:solidFill>
          </w14:textFill>
        </w:rPr>
      </w:pPr>
      <w:r>
        <w:rPr>
          <w:rStyle w:val="26"/>
          <w:rFonts w:hint="eastAsia" w:ascii="宋体" w:hAnsi="宋体" w:cs="宋体"/>
          <w:b/>
          <w:bCs/>
          <w:color w:val="000000" w:themeColor="text1"/>
          <w:sz w:val="96"/>
          <w:szCs w:val="96"/>
          <w14:textFill>
            <w14:solidFill>
              <w14:schemeClr w14:val="tx1"/>
            </w14:solidFill>
          </w14:textFill>
        </w:rPr>
        <w:t>福州职业技术学院</w:t>
      </w:r>
    </w:p>
    <w:p w14:paraId="66B328E4">
      <w:pPr>
        <w:spacing w:line="1400" w:lineRule="exact"/>
        <w:jc w:val="center"/>
        <w:rPr>
          <w:rStyle w:val="26"/>
          <w:rFonts w:ascii="宋体" w:hAnsi="宋体" w:cs="宋体"/>
          <w:b/>
          <w:bCs/>
          <w:color w:val="000000" w:themeColor="text1"/>
          <w:sz w:val="96"/>
          <w:szCs w:val="96"/>
          <w14:textFill>
            <w14:solidFill>
              <w14:schemeClr w14:val="tx1"/>
            </w14:solidFill>
          </w14:textFill>
        </w:rPr>
      </w:pPr>
      <w:r>
        <w:rPr>
          <w:rStyle w:val="26"/>
          <w:rFonts w:hint="eastAsia" w:ascii="宋体" w:hAnsi="宋体" w:cs="宋体"/>
          <w:b/>
          <w:bCs/>
          <w:color w:val="000000" w:themeColor="text1"/>
          <w:sz w:val="96"/>
          <w:szCs w:val="96"/>
          <w14:textFill>
            <w14:solidFill>
              <w14:schemeClr w14:val="tx1"/>
            </w14:solidFill>
          </w14:textFill>
        </w:rPr>
        <w:t>网上竞价文件</w:t>
      </w:r>
    </w:p>
    <w:p w14:paraId="40AA193C">
      <w:pPr>
        <w:spacing w:line="500" w:lineRule="atLeast"/>
        <w:jc w:val="center"/>
        <w:rPr>
          <w:rStyle w:val="26"/>
          <w:rFonts w:ascii="宋体" w:hAnsi="宋体" w:cs="宋体"/>
          <w:b/>
          <w:bCs/>
          <w:color w:val="000000" w:themeColor="text1"/>
          <w:sz w:val="36"/>
          <w:szCs w:val="36"/>
          <w14:textFill>
            <w14:solidFill>
              <w14:schemeClr w14:val="tx1"/>
            </w14:solidFill>
          </w14:textFill>
        </w:rPr>
      </w:pPr>
    </w:p>
    <w:p w14:paraId="36A8E131">
      <w:pPr>
        <w:spacing w:line="500" w:lineRule="atLeast"/>
        <w:rPr>
          <w:rStyle w:val="26"/>
          <w:rFonts w:ascii="宋体" w:hAnsi="宋体" w:cs="宋体"/>
          <w:b/>
          <w:bCs/>
          <w:color w:val="000000" w:themeColor="text1"/>
          <w:sz w:val="36"/>
          <w:szCs w:val="36"/>
          <w14:textFill>
            <w14:solidFill>
              <w14:schemeClr w14:val="tx1"/>
            </w14:solidFill>
          </w14:textFill>
        </w:rPr>
      </w:pPr>
    </w:p>
    <w:p w14:paraId="775F2BD4">
      <w:pPr>
        <w:spacing w:line="360" w:lineRule="auto"/>
        <w:jc w:val="left"/>
        <w:rPr>
          <w:rStyle w:val="26"/>
          <w:rFonts w:ascii="宋体" w:hAnsi="宋体" w:cs="宋体"/>
          <w:b/>
          <w:bCs/>
          <w:color w:val="000000" w:themeColor="text1"/>
          <w:sz w:val="30"/>
          <w:szCs w:val="30"/>
          <w:lang w:val="zh-CN"/>
          <w14:textFill>
            <w14:solidFill>
              <w14:schemeClr w14:val="tx1"/>
            </w14:solidFill>
          </w14:textFill>
        </w:rPr>
      </w:pPr>
    </w:p>
    <w:p w14:paraId="2B40C4EC">
      <w:pPr>
        <w:spacing w:line="360" w:lineRule="auto"/>
        <w:ind w:firstLine="2100" w:firstLineChars="700"/>
        <w:jc w:val="left"/>
        <w:rPr>
          <w:rStyle w:val="26"/>
          <w:rFonts w:ascii="宋体" w:hAnsi="宋体" w:cs="宋体"/>
          <w:b/>
          <w:bCs/>
          <w:color w:val="000000" w:themeColor="text1"/>
          <w:sz w:val="30"/>
          <w:szCs w:val="30"/>
          <w14:textFill>
            <w14:solidFill>
              <w14:schemeClr w14:val="tx1"/>
            </w14:solidFill>
          </w14:textFill>
        </w:rPr>
      </w:pPr>
      <w:r>
        <w:rPr>
          <w:rStyle w:val="26"/>
          <w:rFonts w:hint="eastAsia" w:ascii="宋体" w:hAnsi="宋体" w:cs="宋体"/>
          <w:b/>
          <w:bCs/>
          <w:color w:val="000000" w:themeColor="text1"/>
          <w:sz w:val="30"/>
          <w:szCs w:val="30"/>
          <w:lang w:val="zh-CN"/>
          <w14:textFill>
            <w14:solidFill>
              <w14:schemeClr w14:val="tx1"/>
            </w14:solidFill>
          </w14:textFill>
        </w:rPr>
        <w:t>竞价编号：FJGCWSJJ-FS-2026-045</w:t>
      </w:r>
    </w:p>
    <w:p w14:paraId="46DF1CDB">
      <w:pPr>
        <w:spacing w:line="360" w:lineRule="auto"/>
        <w:ind w:left="3604" w:leftChars="1002" w:hanging="1500" w:hangingChars="500"/>
        <w:jc w:val="left"/>
        <w:rPr>
          <w:rStyle w:val="26"/>
          <w:rFonts w:ascii="宋体" w:hAnsi="宋体" w:cs="宋体"/>
          <w:b/>
          <w:bCs/>
          <w:color w:val="000000" w:themeColor="text1"/>
          <w:sz w:val="30"/>
          <w:szCs w:val="30"/>
          <w:lang w:val="zh-CN"/>
          <w14:textFill>
            <w14:solidFill>
              <w14:schemeClr w14:val="tx1"/>
            </w14:solidFill>
          </w14:textFill>
        </w:rPr>
      </w:pPr>
      <w:r>
        <w:rPr>
          <w:rStyle w:val="26"/>
          <w:rFonts w:hint="eastAsia" w:ascii="宋体" w:hAnsi="宋体" w:cs="宋体"/>
          <w:b/>
          <w:bCs/>
          <w:color w:val="000000" w:themeColor="text1"/>
          <w:sz w:val="30"/>
          <w:szCs w:val="30"/>
          <w:lang w:val="zh-CN"/>
          <w14:textFill>
            <w14:solidFill>
              <w14:schemeClr w14:val="tx1"/>
            </w14:solidFill>
          </w14:textFill>
        </w:rPr>
        <w:t>项目名称：福州职业技术学院数据中心机房设备维护采购项目</w:t>
      </w:r>
    </w:p>
    <w:p w14:paraId="6F4CBC7B">
      <w:pPr>
        <w:pStyle w:val="54"/>
        <w:spacing w:after="0"/>
        <w:ind w:leftChars="0" w:firstLine="0"/>
        <w:jc w:val="center"/>
        <w:rPr>
          <w:rStyle w:val="26"/>
          <w:rFonts w:ascii="宋体" w:hAnsi="宋体" w:cs="宋体"/>
          <w:b/>
          <w:bCs/>
          <w:color w:val="000000" w:themeColor="text1"/>
          <w:sz w:val="30"/>
          <w:szCs w:val="30"/>
          <w:lang w:val="zh-CN"/>
          <w14:textFill>
            <w14:solidFill>
              <w14:schemeClr w14:val="tx1"/>
            </w14:solidFill>
          </w14:textFill>
        </w:rPr>
      </w:pPr>
    </w:p>
    <w:p w14:paraId="780D4755">
      <w:pPr>
        <w:pStyle w:val="54"/>
        <w:spacing w:after="0"/>
        <w:ind w:left="0" w:leftChars="0" w:firstLine="0"/>
        <w:jc w:val="center"/>
        <w:rPr>
          <w:rStyle w:val="26"/>
          <w:rFonts w:ascii="宋体" w:hAnsi="宋体" w:cs="宋体"/>
          <w:b/>
          <w:bCs/>
          <w:color w:val="000000" w:themeColor="text1"/>
          <w:sz w:val="30"/>
          <w:szCs w:val="30"/>
          <w14:textFill>
            <w14:solidFill>
              <w14:schemeClr w14:val="tx1"/>
            </w14:solidFill>
          </w14:textFill>
        </w:rPr>
      </w:pPr>
    </w:p>
    <w:p w14:paraId="757843C5">
      <w:pPr>
        <w:pStyle w:val="54"/>
        <w:spacing w:after="0"/>
        <w:ind w:left="0" w:leftChars="0" w:firstLine="0"/>
        <w:jc w:val="center"/>
        <w:rPr>
          <w:rStyle w:val="26"/>
          <w:rFonts w:ascii="宋体" w:hAnsi="宋体" w:cs="宋体"/>
          <w:b/>
          <w:bCs/>
          <w:color w:val="000000" w:themeColor="text1"/>
          <w:sz w:val="30"/>
          <w:szCs w:val="30"/>
          <w14:textFill>
            <w14:solidFill>
              <w14:schemeClr w14:val="tx1"/>
            </w14:solidFill>
          </w14:textFill>
        </w:rPr>
      </w:pPr>
    </w:p>
    <w:p w14:paraId="0B7708A9">
      <w:pPr>
        <w:pStyle w:val="54"/>
        <w:spacing w:after="0"/>
        <w:ind w:left="0" w:leftChars="0" w:firstLine="2172" w:firstLineChars="724"/>
        <w:jc w:val="left"/>
        <w:rPr>
          <w:rStyle w:val="26"/>
          <w:rFonts w:ascii="宋体" w:hAnsi="宋体" w:cs="宋体"/>
          <w:b/>
          <w:bCs/>
          <w:color w:val="000000" w:themeColor="text1"/>
          <w:sz w:val="30"/>
          <w:szCs w:val="30"/>
          <w14:textFill>
            <w14:solidFill>
              <w14:schemeClr w14:val="tx1"/>
            </w14:solidFill>
          </w14:textFill>
        </w:rPr>
      </w:pPr>
      <w:r>
        <w:rPr>
          <w:rStyle w:val="26"/>
          <w:rFonts w:hint="eastAsia" w:ascii="宋体" w:hAnsi="宋体" w:cs="宋体"/>
          <w:b/>
          <w:bCs/>
          <w:color w:val="000000" w:themeColor="text1"/>
          <w:sz w:val="30"/>
          <w:szCs w:val="30"/>
          <w14:textFill>
            <w14:solidFill>
              <w14:schemeClr w14:val="tx1"/>
            </w14:solidFill>
          </w14:textFill>
        </w:rPr>
        <w:t>采购人：福州职业技术学院(盖章)</w:t>
      </w:r>
    </w:p>
    <w:p w14:paraId="0F37AD6F">
      <w:pPr>
        <w:pStyle w:val="54"/>
        <w:spacing w:after="0"/>
        <w:ind w:left="0" w:leftChars="0" w:firstLine="2172" w:firstLineChars="724"/>
        <w:jc w:val="left"/>
        <w:rPr>
          <w:rStyle w:val="26"/>
          <w:rFonts w:ascii="宋体" w:hAnsi="宋体" w:cs="宋体"/>
          <w:b/>
          <w:bCs/>
          <w:color w:val="000000" w:themeColor="text1"/>
          <w:sz w:val="30"/>
          <w:szCs w:val="30"/>
          <w14:textFill>
            <w14:solidFill>
              <w14:schemeClr w14:val="tx1"/>
            </w14:solidFill>
          </w14:textFill>
        </w:rPr>
      </w:pPr>
      <w:r>
        <w:rPr>
          <w:rStyle w:val="26"/>
          <w:rFonts w:hint="eastAsia" w:ascii="宋体" w:hAnsi="宋体" w:cs="宋体"/>
          <w:b/>
          <w:bCs/>
          <w:color w:val="000000" w:themeColor="text1"/>
          <w:sz w:val="30"/>
          <w:szCs w:val="30"/>
          <w14:textFill>
            <w14:solidFill>
              <w14:schemeClr w14:val="tx1"/>
            </w14:solidFill>
          </w14:textFill>
        </w:rPr>
        <w:t>代理机构：</w:t>
      </w:r>
      <w:r>
        <w:rPr>
          <w:rFonts w:hint="eastAsia" w:ascii="宋体" w:hAnsi="宋体" w:cs="宋体"/>
          <w:b/>
          <w:bCs/>
          <w:color w:val="000000"/>
          <w:sz w:val="30"/>
          <w:szCs w:val="30"/>
        </w:rPr>
        <w:t>福建国诚招标有限公司</w:t>
      </w:r>
      <w:r>
        <w:rPr>
          <w:rStyle w:val="26"/>
          <w:rFonts w:hint="eastAsia" w:ascii="宋体" w:hAnsi="宋体" w:cs="宋体"/>
          <w:b/>
          <w:bCs/>
          <w:color w:val="000000" w:themeColor="text1"/>
          <w:sz w:val="30"/>
          <w:szCs w:val="30"/>
          <w14:textFill>
            <w14:solidFill>
              <w14:schemeClr w14:val="tx1"/>
            </w14:solidFill>
          </w14:textFill>
        </w:rPr>
        <w:t>(盖章)</w:t>
      </w:r>
    </w:p>
    <w:p w14:paraId="42ECB421">
      <w:pPr>
        <w:spacing w:line="360" w:lineRule="auto"/>
        <w:jc w:val="center"/>
        <w:rPr>
          <w:rStyle w:val="26"/>
          <w:rFonts w:ascii="宋体" w:hAnsi="宋体" w:cs="宋体"/>
          <w:b/>
          <w:color w:val="000000" w:themeColor="text1"/>
          <w:sz w:val="36"/>
          <w:szCs w:val="36"/>
          <w:u w:val="single"/>
          <w14:textFill>
            <w14:solidFill>
              <w14:schemeClr w14:val="tx1"/>
            </w14:solidFill>
          </w14:textFill>
        </w:rPr>
      </w:pPr>
      <w:r>
        <w:rPr>
          <w:rStyle w:val="26"/>
          <w:rFonts w:hint="eastAsia" w:ascii="宋体" w:hAnsi="宋体" w:cs="宋体"/>
          <w:b/>
          <w:bCs/>
          <w:color w:val="000000" w:themeColor="text1"/>
          <w:sz w:val="30"/>
          <w:szCs w:val="30"/>
          <w14:textFill>
            <w14:solidFill>
              <w14:schemeClr w14:val="tx1"/>
            </w14:solidFill>
          </w14:textFill>
        </w:rPr>
        <w:t>二○二六年</w:t>
      </w:r>
      <w:r>
        <w:rPr>
          <w:rStyle w:val="26"/>
          <w:rFonts w:hint="eastAsia" w:ascii="宋体" w:hAnsi="宋体" w:cs="宋体"/>
          <w:b/>
          <w:bCs/>
          <w:color w:val="000000" w:themeColor="text1"/>
          <w:sz w:val="30"/>
          <w:szCs w:val="30"/>
          <w:lang w:eastAsia="zh-CN"/>
          <w14:textFill>
            <w14:solidFill>
              <w14:schemeClr w14:val="tx1"/>
            </w14:solidFill>
          </w14:textFill>
        </w:rPr>
        <w:t>七</w:t>
      </w:r>
      <w:r>
        <w:rPr>
          <w:rStyle w:val="26"/>
          <w:rFonts w:hint="eastAsia" w:ascii="宋体" w:hAnsi="宋体" w:cs="宋体"/>
          <w:b/>
          <w:bCs/>
          <w:color w:val="000000" w:themeColor="text1"/>
          <w:sz w:val="30"/>
          <w:szCs w:val="30"/>
          <w14:textFill>
            <w14:solidFill>
              <w14:schemeClr w14:val="tx1"/>
            </w14:solidFill>
          </w14:textFill>
        </w:rPr>
        <w:t>月</w:t>
      </w:r>
    </w:p>
    <w:p w14:paraId="2326BCEC">
      <w:pPr>
        <w:spacing w:line="500" w:lineRule="exact"/>
        <w:jc w:val="center"/>
        <w:rPr>
          <w:rStyle w:val="26"/>
          <w:rFonts w:ascii="宋体" w:hAnsi="宋体" w:cs="宋体"/>
          <w:b/>
          <w:color w:val="000000" w:themeColor="text1"/>
          <w:sz w:val="24"/>
          <w:u w:val="single"/>
          <w14:textFill>
            <w14:solidFill>
              <w14:schemeClr w14:val="tx1"/>
            </w14:solidFill>
          </w14:textFill>
        </w:rPr>
      </w:pPr>
    </w:p>
    <w:p w14:paraId="706CA647">
      <w:pPr>
        <w:spacing w:line="500" w:lineRule="exact"/>
        <w:rPr>
          <w:rStyle w:val="26"/>
          <w:rFonts w:ascii="宋体" w:hAnsi="宋体" w:cs="宋体"/>
          <w:color w:val="000000" w:themeColor="text1"/>
          <w:sz w:val="24"/>
          <w14:textFill>
            <w14:solidFill>
              <w14:schemeClr w14:val="tx1"/>
            </w14:solidFill>
          </w14:textFill>
        </w:rPr>
      </w:pPr>
    </w:p>
    <w:p w14:paraId="7ECF0614">
      <w:pPr>
        <w:spacing w:line="500" w:lineRule="exact"/>
        <w:rPr>
          <w:rStyle w:val="26"/>
          <w:rFonts w:ascii="宋体" w:hAnsi="宋体" w:cs="宋体"/>
          <w:color w:val="000000" w:themeColor="text1"/>
          <w:sz w:val="24"/>
          <w14:textFill>
            <w14:solidFill>
              <w14:schemeClr w14:val="tx1"/>
            </w14:solidFill>
          </w14:textFill>
        </w:rPr>
      </w:pPr>
    </w:p>
    <w:p w14:paraId="4C8BC34F">
      <w:pPr>
        <w:spacing w:line="500" w:lineRule="exact"/>
        <w:rPr>
          <w:rStyle w:val="26"/>
          <w:rFonts w:ascii="宋体" w:hAnsi="宋体" w:cs="宋体"/>
          <w:color w:val="000000" w:themeColor="text1"/>
          <w:sz w:val="24"/>
          <w14:textFill>
            <w14:solidFill>
              <w14:schemeClr w14:val="tx1"/>
            </w14:solidFill>
          </w14:textFill>
        </w:rPr>
      </w:pPr>
    </w:p>
    <w:p w14:paraId="4CCCF99D">
      <w:pPr>
        <w:rPr>
          <w:rStyle w:val="26"/>
          <w:rFonts w:hint="eastAsia" w:hAnsi="宋体" w:cs="宋体"/>
          <w:b/>
          <w:color w:val="000000" w:themeColor="text1"/>
          <w:sz w:val="30"/>
          <w:szCs w:val="30"/>
          <w14:textFill>
            <w14:solidFill>
              <w14:schemeClr w14:val="tx1"/>
            </w14:solidFill>
          </w14:textFill>
        </w:rPr>
      </w:pPr>
      <w:r>
        <w:rPr>
          <w:rStyle w:val="26"/>
          <w:rFonts w:hint="eastAsia" w:hAnsi="宋体" w:cs="宋体"/>
          <w:b/>
          <w:color w:val="000000" w:themeColor="text1"/>
          <w:sz w:val="30"/>
          <w:szCs w:val="30"/>
          <w14:textFill>
            <w14:solidFill>
              <w14:schemeClr w14:val="tx1"/>
            </w14:solidFill>
          </w14:textFill>
        </w:rPr>
        <w:br w:type="page"/>
      </w:r>
    </w:p>
    <w:p w14:paraId="09F9AFF5">
      <w:pPr>
        <w:pStyle w:val="64"/>
        <w:spacing w:line="500" w:lineRule="exact"/>
        <w:jc w:val="center"/>
        <w:rPr>
          <w:rStyle w:val="26"/>
          <w:rFonts w:hAnsi="宋体" w:cs="宋体"/>
          <w:b/>
          <w:color w:val="000000" w:themeColor="text1"/>
          <w:sz w:val="30"/>
          <w:szCs w:val="30"/>
          <w14:textFill>
            <w14:solidFill>
              <w14:schemeClr w14:val="tx1"/>
            </w14:solidFill>
          </w14:textFill>
        </w:rPr>
      </w:pPr>
      <w:r>
        <w:rPr>
          <w:rStyle w:val="26"/>
          <w:rFonts w:hint="eastAsia" w:hAnsi="宋体" w:cs="宋体"/>
          <w:b/>
          <w:color w:val="000000" w:themeColor="text1"/>
          <w:sz w:val="30"/>
          <w:szCs w:val="30"/>
          <w14:textFill>
            <w14:solidFill>
              <w14:schemeClr w14:val="tx1"/>
            </w14:solidFill>
          </w14:textFill>
        </w:rPr>
        <w:t>目录</w:t>
      </w:r>
    </w:p>
    <w:sdt>
      <w:sdtPr>
        <w:rPr>
          <w:rFonts w:ascii="宋体" w:hAnsi="宋体"/>
        </w:rPr>
        <w:id w:val="147458230"/>
        <w:docPartObj>
          <w:docPartGallery w:val="Table of Contents"/>
          <w:docPartUnique/>
        </w:docPartObj>
      </w:sdtPr>
      <w:sdtEndPr>
        <w:rPr>
          <w:rFonts w:ascii="宋体" w:hAnsi="宋体" w:cs="宋体"/>
          <w:bCs/>
          <w:color w:val="000000" w:themeColor="text1"/>
          <w:kern w:val="0"/>
          <w14:textFill>
            <w14:solidFill>
              <w14:schemeClr w14:val="tx1"/>
            </w14:solidFill>
          </w14:textFill>
        </w:rPr>
      </w:sdtEndPr>
      <w:sdtContent>
        <w:p w14:paraId="50613FC1">
          <w:pPr>
            <w:jc w:val="center"/>
          </w:pPr>
        </w:p>
        <w:p w14:paraId="66F0D211">
          <w:pPr>
            <w:pStyle w:val="17"/>
            <w:tabs>
              <w:tab w:val="right" w:leader="dot" w:pos="9723"/>
            </w:tabs>
            <w:spacing w:line="360" w:lineRule="auto"/>
            <w:rPr>
              <w:rFonts w:asciiTheme="majorEastAsia" w:hAnsiTheme="majorEastAsia" w:eastAsiaTheme="majorEastAsia"/>
              <w:sz w:val="24"/>
            </w:rPr>
          </w:pPr>
          <w:r>
            <w:rPr>
              <w:rStyle w:val="26"/>
            </w:rPr>
            <w:fldChar w:fldCharType="begin"/>
          </w:r>
          <w:r>
            <w:rPr>
              <w:rStyle w:val="26"/>
              <w:rFonts w:ascii="宋体" w:hAnsi="宋体" w:cs="宋体"/>
              <w:bCs/>
              <w:color w:val="000000" w:themeColor="text1"/>
              <w:kern w:val="0"/>
              <w:sz w:val="24"/>
              <w14:textFill>
                <w14:solidFill>
                  <w14:schemeClr w14:val="tx1"/>
                </w14:solidFill>
              </w14:textFill>
            </w:rPr>
            <w:instrText xml:space="preserve">TOC \o "1-3" \h \u </w:instrText>
          </w:r>
          <w:r>
            <w:rPr>
              <w:rStyle w:val="26"/>
            </w:rPr>
            <w:fldChar w:fldCharType="separate"/>
          </w:r>
          <w:r>
            <w:fldChar w:fldCharType="begin"/>
          </w:r>
          <w:r>
            <w:instrText xml:space="preserve"> HYPERLINK \l "_Toc7642" </w:instrText>
          </w:r>
          <w:r>
            <w:fldChar w:fldCharType="separate"/>
          </w:r>
          <w:r>
            <w:rPr>
              <w:rFonts w:hint="eastAsia" w:cs="宋体" w:asciiTheme="majorEastAsia" w:hAnsiTheme="majorEastAsia" w:eastAsiaTheme="majorEastAsia"/>
              <w:bCs/>
              <w:kern w:val="0"/>
              <w:sz w:val="24"/>
            </w:rPr>
            <w:t>第一章 竞价公告</w:t>
          </w:r>
          <w:r>
            <w:rPr>
              <w:rFonts w:asciiTheme="majorEastAsia" w:hAnsiTheme="majorEastAsia" w:eastAsiaTheme="majorEastAsia"/>
              <w:sz w:val="24"/>
            </w:rPr>
            <w:tab/>
          </w:r>
          <w:r>
            <w:rPr>
              <w:rFonts w:asciiTheme="majorEastAsia" w:hAnsiTheme="majorEastAsia" w:eastAsiaTheme="majorEastAsia"/>
              <w:sz w:val="24"/>
            </w:rPr>
            <w:fldChar w:fldCharType="begin"/>
          </w:r>
          <w:r>
            <w:rPr>
              <w:rFonts w:asciiTheme="majorEastAsia" w:hAnsiTheme="majorEastAsia" w:eastAsiaTheme="majorEastAsia"/>
              <w:sz w:val="24"/>
            </w:rPr>
            <w:instrText xml:space="preserve"> PAGEREF _Toc7642 \h </w:instrText>
          </w:r>
          <w:r>
            <w:rPr>
              <w:rFonts w:asciiTheme="majorEastAsia" w:hAnsiTheme="majorEastAsia" w:eastAsiaTheme="majorEastAsia"/>
              <w:sz w:val="24"/>
            </w:rPr>
            <w:fldChar w:fldCharType="separate"/>
          </w:r>
          <w:r>
            <w:rPr>
              <w:rFonts w:asciiTheme="majorEastAsia" w:hAnsiTheme="majorEastAsia" w:eastAsiaTheme="majorEastAsia"/>
              <w:sz w:val="24"/>
            </w:rPr>
            <w:t>3</w:t>
          </w:r>
          <w:r>
            <w:rPr>
              <w:rFonts w:asciiTheme="majorEastAsia" w:hAnsiTheme="majorEastAsia" w:eastAsiaTheme="majorEastAsia"/>
              <w:sz w:val="24"/>
            </w:rPr>
            <w:fldChar w:fldCharType="end"/>
          </w:r>
          <w:r>
            <w:rPr>
              <w:rFonts w:asciiTheme="majorEastAsia" w:hAnsiTheme="majorEastAsia" w:eastAsiaTheme="majorEastAsia"/>
              <w:sz w:val="24"/>
            </w:rPr>
            <w:fldChar w:fldCharType="end"/>
          </w:r>
        </w:p>
        <w:p w14:paraId="336A84FC">
          <w:pPr>
            <w:pStyle w:val="17"/>
            <w:tabs>
              <w:tab w:val="right" w:leader="dot" w:pos="9723"/>
            </w:tabs>
            <w:spacing w:line="360" w:lineRule="auto"/>
            <w:rPr>
              <w:rFonts w:asciiTheme="majorEastAsia" w:hAnsiTheme="majorEastAsia" w:eastAsiaTheme="majorEastAsia"/>
              <w:sz w:val="24"/>
            </w:rPr>
          </w:pPr>
          <w:r>
            <w:fldChar w:fldCharType="begin"/>
          </w:r>
          <w:r>
            <w:instrText xml:space="preserve"> HYPERLINK \l "_Toc10667" </w:instrText>
          </w:r>
          <w:r>
            <w:fldChar w:fldCharType="separate"/>
          </w:r>
          <w:r>
            <w:rPr>
              <w:rFonts w:hint="eastAsia" w:cs="宋体" w:asciiTheme="majorEastAsia" w:hAnsiTheme="majorEastAsia" w:eastAsiaTheme="majorEastAsia"/>
              <w:kern w:val="0"/>
              <w:sz w:val="24"/>
            </w:rPr>
            <w:t>第二章 网上竞价内容及要求</w:t>
          </w:r>
          <w:r>
            <w:rPr>
              <w:rFonts w:asciiTheme="majorEastAsia" w:hAnsiTheme="majorEastAsia" w:eastAsiaTheme="majorEastAsia"/>
              <w:sz w:val="24"/>
            </w:rPr>
            <w:tab/>
          </w:r>
          <w:r>
            <w:rPr>
              <w:rFonts w:asciiTheme="majorEastAsia" w:hAnsiTheme="majorEastAsia" w:eastAsiaTheme="majorEastAsia"/>
              <w:sz w:val="24"/>
            </w:rPr>
            <w:fldChar w:fldCharType="begin"/>
          </w:r>
          <w:r>
            <w:rPr>
              <w:rFonts w:asciiTheme="majorEastAsia" w:hAnsiTheme="majorEastAsia" w:eastAsiaTheme="majorEastAsia"/>
              <w:sz w:val="24"/>
            </w:rPr>
            <w:instrText xml:space="preserve"> PAGEREF _Toc10667 \h </w:instrText>
          </w:r>
          <w:r>
            <w:rPr>
              <w:rFonts w:asciiTheme="majorEastAsia" w:hAnsiTheme="majorEastAsia" w:eastAsiaTheme="majorEastAsia"/>
              <w:sz w:val="24"/>
            </w:rPr>
            <w:fldChar w:fldCharType="separate"/>
          </w:r>
          <w:r>
            <w:rPr>
              <w:rFonts w:asciiTheme="majorEastAsia" w:hAnsiTheme="majorEastAsia" w:eastAsiaTheme="majorEastAsia"/>
              <w:sz w:val="24"/>
            </w:rPr>
            <w:t>7</w:t>
          </w:r>
          <w:r>
            <w:rPr>
              <w:rFonts w:asciiTheme="majorEastAsia" w:hAnsiTheme="majorEastAsia" w:eastAsiaTheme="majorEastAsia"/>
              <w:sz w:val="24"/>
            </w:rPr>
            <w:fldChar w:fldCharType="end"/>
          </w:r>
          <w:r>
            <w:rPr>
              <w:rFonts w:asciiTheme="majorEastAsia" w:hAnsiTheme="majorEastAsia" w:eastAsiaTheme="majorEastAsia"/>
              <w:sz w:val="24"/>
            </w:rPr>
            <w:fldChar w:fldCharType="end"/>
          </w:r>
        </w:p>
        <w:p w14:paraId="3652A711">
          <w:pPr>
            <w:pStyle w:val="17"/>
            <w:tabs>
              <w:tab w:val="right" w:leader="dot" w:pos="9723"/>
            </w:tabs>
            <w:spacing w:line="360" w:lineRule="auto"/>
            <w:rPr>
              <w:rFonts w:asciiTheme="majorEastAsia" w:hAnsiTheme="majorEastAsia" w:eastAsiaTheme="majorEastAsia"/>
              <w:sz w:val="24"/>
            </w:rPr>
          </w:pPr>
          <w:r>
            <w:fldChar w:fldCharType="begin"/>
          </w:r>
          <w:r>
            <w:instrText xml:space="preserve"> HYPERLINK \l "_Toc12695" </w:instrText>
          </w:r>
          <w:r>
            <w:fldChar w:fldCharType="separate"/>
          </w:r>
          <w:r>
            <w:rPr>
              <w:rFonts w:hint="eastAsia" w:cs="宋体" w:asciiTheme="majorEastAsia" w:hAnsiTheme="majorEastAsia" w:eastAsiaTheme="majorEastAsia"/>
              <w:bCs/>
              <w:sz w:val="24"/>
            </w:rPr>
            <w:t>第三章 证明材料格式</w:t>
          </w:r>
          <w:r>
            <w:rPr>
              <w:rFonts w:asciiTheme="majorEastAsia" w:hAnsiTheme="majorEastAsia" w:eastAsiaTheme="majorEastAsia"/>
              <w:sz w:val="24"/>
            </w:rPr>
            <w:tab/>
          </w:r>
          <w:r>
            <w:rPr>
              <w:rFonts w:asciiTheme="majorEastAsia" w:hAnsiTheme="majorEastAsia" w:eastAsiaTheme="majorEastAsia"/>
              <w:sz w:val="24"/>
            </w:rPr>
            <w:fldChar w:fldCharType="begin"/>
          </w:r>
          <w:r>
            <w:rPr>
              <w:rFonts w:asciiTheme="majorEastAsia" w:hAnsiTheme="majorEastAsia" w:eastAsiaTheme="majorEastAsia"/>
              <w:sz w:val="24"/>
            </w:rPr>
            <w:instrText xml:space="preserve"> PAGEREF _Toc12695 \h </w:instrText>
          </w:r>
          <w:r>
            <w:rPr>
              <w:rFonts w:asciiTheme="majorEastAsia" w:hAnsiTheme="majorEastAsia" w:eastAsiaTheme="majorEastAsia"/>
              <w:sz w:val="24"/>
            </w:rPr>
            <w:fldChar w:fldCharType="separate"/>
          </w:r>
          <w:r>
            <w:rPr>
              <w:rFonts w:asciiTheme="majorEastAsia" w:hAnsiTheme="majorEastAsia" w:eastAsiaTheme="majorEastAsia"/>
              <w:sz w:val="24"/>
            </w:rPr>
            <w:t>1</w:t>
          </w:r>
          <w:r>
            <w:rPr>
              <w:rFonts w:hint="eastAsia" w:asciiTheme="majorEastAsia" w:hAnsiTheme="majorEastAsia" w:eastAsiaTheme="majorEastAsia"/>
              <w:sz w:val="24"/>
            </w:rPr>
            <w:t>1</w:t>
          </w:r>
          <w:r>
            <w:rPr>
              <w:rFonts w:asciiTheme="majorEastAsia" w:hAnsiTheme="majorEastAsia" w:eastAsiaTheme="majorEastAsia"/>
              <w:sz w:val="24"/>
            </w:rPr>
            <w:fldChar w:fldCharType="end"/>
          </w:r>
          <w:r>
            <w:rPr>
              <w:rFonts w:asciiTheme="majorEastAsia" w:hAnsiTheme="majorEastAsia" w:eastAsiaTheme="majorEastAsia"/>
              <w:sz w:val="24"/>
            </w:rPr>
            <w:fldChar w:fldCharType="end"/>
          </w:r>
        </w:p>
        <w:p w14:paraId="4B8BCC20">
          <w:pPr>
            <w:pStyle w:val="17"/>
            <w:tabs>
              <w:tab w:val="right" w:leader="dot" w:pos="9723"/>
            </w:tabs>
            <w:spacing w:line="360" w:lineRule="auto"/>
            <w:rPr>
              <w:rFonts w:asciiTheme="majorEastAsia" w:hAnsiTheme="majorEastAsia" w:eastAsiaTheme="majorEastAsia"/>
              <w:sz w:val="24"/>
            </w:rPr>
          </w:pPr>
          <w:r>
            <w:fldChar w:fldCharType="begin"/>
          </w:r>
          <w:r>
            <w:instrText xml:space="preserve"> HYPERLINK \l "_Toc7398" </w:instrText>
          </w:r>
          <w:r>
            <w:fldChar w:fldCharType="separate"/>
          </w:r>
          <w:r>
            <w:rPr>
              <w:rFonts w:hint="eastAsia" w:cs="宋体" w:asciiTheme="majorEastAsia" w:hAnsiTheme="majorEastAsia" w:eastAsiaTheme="majorEastAsia"/>
              <w:bCs/>
              <w:sz w:val="24"/>
            </w:rPr>
            <w:t>第四章  报价文件</w:t>
          </w:r>
          <w:r>
            <w:rPr>
              <w:rFonts w:asciiTheme="majorEastAsia" w:hAnsiTheme="majorEastAsia" w:eastAsiaTheme="majorEastAsia"/>
              <w:sz w:val="24"/>
            </w:rPr>
            <w:tab/>
          </w:r>
          <w:r>
            <w:rPr>
              <w:rFonts w:asciiTheme="majorEastAsia" w:hAnsiTheme="majorEastAsia" w:eastAsiaTheme="majorEastAsia"/>
              <w:sz w:val="24"/>
            </w:rPr>
            <w:fldChar w:fldCharType="begin"/>
          </w:r>
          <w:r>
            <w:rPr>
              <w:rFonts w:asciiTheme="majorEastAsia" w:hAnsiTheme="majorEastAsia" w:eastAsiaTheme="majorEastAsia"/>
              <w:sz w:val="24"/>
            </w:rPr>
            <w:instrText xml:space="preserve"> PAGEREF _Toc7398 \h </w:instrText>
          </w:r>
          <w:r>
            <w:rPr>
              <w:rFonts w:asciiTheme="majorEastAsia" w:hAnsiTheme="majorEastAsia" w:eastAsiaTheme="majorEastAsia"/>
              <w:sz w:val="24"/>
            </w:rPr>
            <w:fldChar w:fldCharType="separate"/>
          </w:r>
          <w:r>
            <w:rPr>
              <w:rFonts w:asciiTheme="majorEastAsia" w:hAnsiTheme="majorEastAsia" w:eastAsiaTheme="majorEastAsia"/>
              <w:sz w:val="24"/>
            </w:rPr>
            <w:t>24</w:t>
          </w:r>
          <w:r>
            <w:rPr>
              <w:rFonts w:asciiTheme="majorEastAsia" w:hAnsiTheme="majorEastAsia" w:eastAsiaTheme="majorEastAsia"/>
              <w:sz w:val="24"/>
            </w:rPr>
            <w:fldChar w:fldCharType="end"/>
          </w:r>
          <w:r>
            <w:rPr>
              <w:rFonts w:asciiTheme="majorEastAsia" w:hAnsiTheme="majorEastAsia" w:eastAsiaTheme="majorEastAsia"/>
              <w:sz w:val="24"/>
            </w:rPr>
            <w:fldChar w:fldCharType="end"/>
          </w:r>
        </w:p>
        <w:p w14:paraId="32D245D7">
          <w:pPr>
            <w:spacing w:line="360" w:lineRule="auto"/>
            <w:ind w:firstLine="480" w:firstLineChars="200"/>
            <w:jc w:val="center"/>
            <w:rPr>
              <w:rFonts w:ascii="宋体" w:hAnsi="宋体" w:cs="宋体"/>
              <w:bCs/>
              <w:color w:val="000000" w:themeColor="text1"/>
              <w:kern w:val="0"/>
              <w14:textFill>
                <w14:solidFill>
                  <w14:schemeClr w14:val="tx1"/>
                </w14:solidFill>
              </w14:textFill>
            </w:rPr>
          </w:pPr>
          <w:r>
            <w:rPr>
              <w:rFonts w:ascii="宋体" w:hAnsi="宋体" w:cs="宋体"/>
              <w:bCs/>
              <w:color w:val="000000" w:themeColor="text1"/>
              <w:kern w:val="0"/>
              <w:sz w:val="24"/>
              <w14:textFill>
                <w14:solidFill>
                  <w14:schemeClr w14:val="tx1"/>
                </w14:solidFill>
              </w14:textFill>
            </w:rPr>
            <w:fldChar w:fldCharType="end"/>
          </w:r>
        </w:p>
      </w:sdtContent>
    </w:sdt>
    <w:p w14:paraId="71959D20">
      <w:pPr>
        <w:pStyle w:val="8"/>
      </w:pPr>
    </w:p>
    <w:p w14:paraId="5CFA9D8A">
      <w:pPr>
        <w:spacing w:line="500" w:lineRule="exact"/>
        <w:ind w:firstLine="480" w:firstLineChars="200"/>
        <w:jc w:val="center"/>
        <w:rPr>
          <w:rStyle w:val="26"/>
          <w:rFonts w:ascii="宋体" w:hAnsi="宋体" w:cs="宋体"/>
          <w:b/>
          <w:bCs/>
          <w:color w:val="000000" w:themeColor="text1"/>
          <w:kern w:val="0"/>
          <w:sz w:val="24"/>
          <w14:textFill>
            <w14:solidFill>
              <w14:schemeClr w14:val="tx1"/>
            </w14:solidFill>
          </w14:textFill>
        </w:rPr>
      </w:pPr>
    </w:p>
    <w:p w14:paraId="7F2DCA4D">
      <w:pPr>
        <w:spacing w:line="500" w:lineRule="exact"/>
        <w:ind w:firstLine="480" w:firstLineChars="200"/>
        <w:jc w:val="center"/>
        <w:rPr>
          <w:rStyle w:val="26"/>
          <w:rFonts w:ascii="宋体" w:hAnsi="宋体" w:cs="宋体"/>
          <w:b/>
          <w:bCs/>
          <w:color w:val="000000" w:themeColor="text1"/>
          <w:kern w:val="0"/>
          <w:sz w:val="24"/>
          <w14:textFill>
            <w14:solidFill>
              <w14:schemeClr w14:val="tx1"/>
            </w14:solidFill>
          </w14:textFill>
        </w:rPr>
      </w:pPr>
    </w:p>
    <w:p w14:paraId="081DB631">
      <w:pPr>
        <w:spacing w:line="500" w:lineRule="exact"/>
        <w:ind w:firstLine="480" w:firstLineChars="200"/>
        <w:jc w:val="center"/>
        <w:rPr>
          <w:rStyle w:val="26"/>
          <w:rFonts w:ascii="宋体" w:hAnsi="宋体" w:cs="宋体"/>
          <w:b/>
          <w:bCs/>
          <w:color w:val="000000" w:themeColor="text1"/>
          <w:kern w:val="0"/>
          <w:sz w:val="24"/>
          <w14:textFill>
            <w14:solidFill>
              <w14:schemeClr w14:val="tx1"/>
            </w14:solidFill>
          </w14:textFill>
        </w:rPr>
      </w:pPr>
    </w:p>
    <w:p w14:paraId="16B66680">
      <w:pPr>
        <w:spacing w:line="500" w:lineRule="exact"/>
        <w:ind w:firstLine="480" w:firstLineChars="200"/>
        <w:jc w:val="center"/>
        <w:rPr>
          <w:rStyle w:val="26"/>
          <w:rFonts w:ascii="宋体" w:hAnsi="宋体" w:cs="宋体"/>
          <w:b/>
          <w:bCs/>
          <w:color w:val="000000" w:themeColor="text1"/>
          <w:kern w:val="0"/>
          <w:sz w:val="24"/>
          <w14:textFill>
            <w14:solidFill>
              <w14:schemeClr w14:val="tx1"/>
            </w14:solidFill>
          </w14:textFill>
        </w:rPr>
      </w:pPr>
    </w:p>
    <w:p w14:paraId="71BEBBDA">
      <w:pPr>
        <w:spacing w:line="500" w:lineRule="exact"/>
        <w:ind w:firstLine="480" w:firstLineChars="200"/>
        <w:jc w:val="center"/>
        <w:rPr>
          <w:rStyle w:val="26"/>
          <w:rFonts w:ascii="宋体" w:hAnsi="宋体" w:cs="宋体"/>
          <w:b/>
          <w:bCs/>
          <w:color w:val="000000" w:themeColor="text1"/>
          <w:kern w:val="0"/>
          <w:sz w:val="24"/>
          <w14:textFill>
            <w14:solidFill>
              <w14:schemeClr w14:val="tx1"/>
            </w14:solidFill>
          </w14:textFill>
        </w:rPr>
      </w:pPr>
    </w:p>
    <w:p w14:paraId="38CD2E26">
      <w:pPr>
        <w:spacing w:line="500" w:lineRule="exact"/>
        <w:ind w:firstLine="480" w:firstLineChars="200"/>
        <w:jc w:val="center"/>
        <w:rPr>
          <w:rStyle w:val="26"/>
          <w:rFonts w:ascii="宋体" w:hAnsi="宋体" w:cs="宋体"/>
          <w:b/>
          <w:bCs/>
          <w:color w:val="000000" w:themeColor="text1"/>
          <w:kern w:val="0"/>
          <w:sz w:val="24"/>
          <w14:textFill>
            <w14:solidFill>
              <w14:schemeClr w14:val="tx1"/>
            </w14:solidFill>
          </w14:textFill>
        </w:rPr>
      </w:pPr>
    </w:p>
    <w:p w14:paraId="7C84D6EA">
      <w:pPr>
        <w:spacing w:line="500" w:lineRule="exact"/>
        <w:ind w:firstLine="480" w:firstLineChars="200"/>
        <w:jc w:val="center"/>
        <w:rPr>
          <w:rStyle w:val="26"/>
          <w:rFonts w:ascii="宋体" w:hAnsi="宋体" w:cs="宋体"/>
          <w:b/>
          <w:bCs/>
          <w:color w:val="000000" w:themeColor="text1"/>
          <w:kern w:val="0"/>
          <w:sz w:val="24"/>
          <w14:textFill>
            <w14:solidFill>
              <w14:schemeClr w14:val="tx1"/>
            </w14:solidFill>
          </w14:textFill>
        </w:rPr>
      </w:pPr>
    </w:p>
    <w:p w14:paraId="320A5F0D">
      <w:pPr>
        <w:spacing w:line="500" w:lineRule="exact"/>
        <w:ind w:firstLine="480" w:firstLineChars="200"/>
        <w:jc w:val="center"/>
        <w:rPr>
          <w:rStyle w:val="26"/>
          <w:rFonts w:ascii="宋体" w:hAnsi="宋体" w:cs="宋体"/>
          <w:b/>
          <w:bCs/>
          <w:color w:val="000000" w:themeColor="text1"/>
          <w:kern w:val="0"/>
          <w:sz w:val="24"/>
          <w14:textFill>
            <w14:solidFill>
              <w14:schemeClr w14:val="tx1"/>
            </w14:solidFill>
          </w14:textFill>
        </w:rPr>
      </w:pPr>
    </w:p>
    <w:p w14:paraId="5DE8F275">
      <w:pPr>
        <w:spacing w:line="500" w:lineRule="exact"/>
        <w:ind w:firstLine="480" w:firstLineChars="200"/>
        <w:jc w:val="center"/>
        <w:rPr>
          <w:rStyle w:val="26"/>
          <w:rFonts w:ascii="宋体" w:hAnsi="宋体" w:cs="宋体"/>
          <w:b/>
          <w:bCs/>
          <w:color w:val="000000" w:themeColor="text1"/>
          <w:kern w:val="0"/>
          <w:sz w:val="24"/>
          <w14:textFill>
            <w14:solidFill>
              <w14:schemeClr w14:val="tx1"/>
            </w14:solidFill>
          </w14:textFill>
        </w:rPr>
      </w:pPr>
    </w:p>
    <w:p w14:paraId="3C6491CB">
      <w:pPr>
        <w:spacing w:line="500" w:lineRule="exact"/>
        <w:ind w:firstLine="480" w:firstLineChars="200"/>
        <w:jc w:val="center"/>
        <w:rPr>
          <w:rStyle w:val="26"/>
          <w:rFonts w:ascii="宋体" w:hAnsi="宋体" w:cs="宋体"/>
          <w:b/>
          <w:bCs/>
          <w:color w:val="000000" w:themeColor="text1"/>
          <w:kern w:val="0"/>
          <w:sz w:val="24"/>
          <w14:textFill>
            <w14:solidFill>
              <w14:schemeClr w14:val="tx1"/>
            </w14:solidFill>
          </w14:textFill>
        </w:rPr>
      </w:pPr>
    </w:p>
    <w:p w14:paraId="166BB001">
      <w:pPr>
        <w:spacing w:line="500" w:lineRule="exact"/>
        <w:ind w:firstLine="480" w:firstLineChars="200"/>
        <w:jc w:val="center"/>
        <w:rPr>
          <w:rStyle w:val="26"/>
          <w:rFonts w:ascii="宋体" w:hAnsi="宋体" w:cs="宋体"/>
          <w:b/>
          <w:bCs/>
          <w:color w:val="000000" w:themeColor="text1"/>
          <w:kern w:val="0"/>
          <w:sz w:val="24"/>
          <w14:textFill>
            <w14:solidFill>
              <w14:schemeClr w14:val="tx1"/>
            </w14:solidFill>
          </w14:textFill>
        </w:rPr>
      </w:pPr>
    </w:p>
    <w:p w14:paraId="56AB09EA">
      <w:pPr>
        <w:spacing w:line="500" w:lineRule="exact"/>
        <w:ind w:firstLine="480" w:firstLineChars="200"/>
        <w:jc w:val="center"/>
        <w:rPr>
          <w:rStyle w:val="26"/>
          <w:rFonts w:ascii="宋体" w:hAnsi="宋体" w:cs="宋体"/>
          <w:b/>
          <w:bCs/>
          <w:color w:val="000000" w:themeColor="text1"/>
          <w:kern w:val="0"/>
          <w:sz w:val="24"/>
          <w14:textFill>
            <w14:solidFill>
              <w14:schemeClr w14:val="tx1"/>
            </w14:solidFill>
          </w14:textFill>
        </w:rPr>
      </w:pPr>
    </w:p>
    <w:p w14:paraId="21CB160B">
      <w:pPr>
        <w:spacing w:line="500" w:lineRule="exact"/>
        <w:ind w:firstLine="480" w:firstLineChars="200"/>
        <w:jc w:val="center"/>
        <w:rPr>
          <w:rStyle w:val="26"/>
          <w:rFonts w:ascii="宋体" w:hAnsi="宋体" w:cs="宋体"/>
          <w:b/>
          <w:bCs/>
          <w:color w:val="000000" w:themeColor="text1"/>
          <w:kern w:val="0"/>
          <w:sz w:val="24"/>
          <w14:textFill>
            <w14:solidFill>
              <w14:schemeClr w14:val="tx1"/>
            </w14:solidFill>
          </w14:textFill>
        </w:rPr>
      </w:pPr>
    </w:p>
    <w:p w14:paraId="6F174698">
      <w:pPr>
        <w:spacing w:line="500" w:lineRule="exact"/>
        <w:ind w:firstLine="480" w:firstLineChars="200"/>
        <w:jc w:val="center"/>
        <w:rPr>
          <w:rStyle w:val="26"/>
          <w:rFonts w:ascii="宋体" w:hAnsi="宋体" w:cs="宋体"/>
          <w:b/>
          <w:bCs/>
          <w:color w:val="000000" w:themeColor="text1"/>
          <w:kern w:val="0"/>
          <w:sz w:val="24"/>
          <w14:textFill>
            <w14:solidFill>
              <w14:schemeClr w14:val="tx1"/>
            </w14:solidFill>
          </w14:textFill>
        </w:rPr>
      </w:pPr>
    </w:p>
    <w:p w14:paraId="46D7F30B">
      <w:pPr>
        <w:spacing w:line="500" w:lineRule="exact"/>
        <w:ind w:firstLine="480" w:firstLineChars="200"/>
        <w:jc w:val="center"/>
        <w:rPr>
          <w:rStyle w:val="26"/>
          <w:rFonts w:ascii="宋体" w:hAnsi="宋体" w:cs="宋体"/>
          <w:b/>
          <w:bCs/>
          <w:color w:val="000000" w:themeColor="text1"/>
          <w:kern w:val="0"/>
          <w:sz w:val="24"/>
          <w14:textFill>
            <w14:solidFill>
              <w14:schemeClr w14:val="tx1"/>
            </w14:solidFill>
          </w14:textFill>
        </w:rPr>
      </w:pPr>
    </w:p>
    <w:p w14:paraId="13A5B5AF">
      <w:pPr>
        <w:spacing w:line="500" w:lineRule="exact"/>
        <w:ind w:firstLine="480" w:firstLineChars="200"/>
        <w:jc w:val="center"/>
        <w:rPr>
          <w:rStyle w:val="26"/>
          <w:rFonts w:ascii="宋体" w:hAnsi="宋体" w:cs="宋体"/>
          <w:b/>
          <w:bCs/>
          <w:color w:val="000000" w:themeColor="text1"/>
          <w:kern w:val="0"/>
          <w:sz w:val="24"/>
          <w14:textFill>
            <w14:solidFill>
              <w14:schemeClr w14:val="tx1"/>
            </w14:solidFill>
          </w14:textFill>
        </w:rPr>
      </w:pPr>
    </w:p>
    <w:p w14:paraId="4144D42D">
      <w:pPr>
        <w:spacing w:line="500" w:lineRule="exact"/>
        <w:ind w:firstLine="480" w:firstLineChars="200"/>
        <w:jc w:val="center"/>
        <w:rPr>
          <w:rStyle w:val="26"/>
          <w:rFonts w:ascii="宋体" w:hAnsi="宋体" w:cs="宋体"/>
          <w:b/>
          <w:bCs/>
          <w:color w:val="000000" w:themeColor="text1"/>
          <w:kern w:val="0"/>
          <w:sz w:val="24"/>
          <w14:textFill>
            <w14:solidFill>
              <w14:schemeClr w14:val="tx1"/>
            </w14:solidFill>
          </w14:textFill>
        </w:rPr>
      </w:pPr>
    </w:p>
    <w:p w14:paraId="7A39CC8D">
      <w:pPr>
        <w:spacing w:line="500" w:lineRule="exact"/>
        <w:ind w:firstLine="480" w:firstLineChars="200"/>
        <w:jc w:val="center"/>
        <w:rPr>
          <w:rStyle w:val="26"/>
          <w:rFonts w:ascii="宋体" w:hAnsi="宋体" w:cs="宋体"/>
          <w:b/>
          <w:bCs/>
          <w:color w:val="000000" w:themeColor="text1"/>
          <w:kern w:val="0"/>
          <w:sz w:val="24"/>
          <w14:textFill>
            <w14:solidFill>
              <w14:schemeClr w14:val="tx1"/>
            </w14:solidFill>
          </w14:textFill>
        </w:rPr>
      </w:pPr>
    </w:p>
    <w:p w14:paraId="6A2BDB17">
      <w:pPr>
        <w:spacing w:line="500" w:lineRule="exact"/>
        <w:jc w:val="left"/>
        <w:textAlignment w:val="auto"/>
        <w:rPr>
          <w:rStyle w:val="26"/>
          <w:rFonts w:ascii="宋体" w:hAnsi="宋体" w:cs="宋体"/>
          <w:b/>
          <w:bCs/>
          <w:color w:val="000000" w:themeColor="text1"/>
          <w:kern w:val="0"/>
          <w:sz w:val="24"/>
          <w14:textFill>
            <w14:solidFill>
              <w14:schemeClr w14:val="tx1"/>
            </w14:solidFill>
          </w14:textFill>
        </w:rPr>
      </w:pPr>
      <w:r>
        <w:rPr>
          <w:rStyle w:val="26"/>
          <w:rFonts w:hint="eastAsia" w:ascii="宋体" w:hAnsi="宋体" w:cs="宋体"/>
          <w:b/>
          <w:bCs/>
          <w:color w:val="000000" w:themeColor="text1"/>
          <w:kern w:val="0"/>
          <w:sz w:val="24"/>
          <w14:textFill>
            <w14:solidFill>
              <w14:schemeClr w14:val="tx1"/>
            </w14:solidFill>
          </w14:textFill>
        </w:rPr>
        <w:br w:type="page"/>
      </w:r>
    </w:p>
    <w:p w14:paraId="456E8354">
      <w:pPr>
        <w:spacing w:line="500" w:lineRule="exact"/>
        <w:jc w:val="center"/>
        <w:outlineLvl w:val="1"/>
        <w:rPr>
          <w:rStyle w:val="26"/>
          <w:rFonts w:ascii="宋体" w:hAnsi="宋体" w:cs="宋体"/>
          <w:b/>
          <w:bCs/>
          <w:color w:val="000000" w:themeColor="text1"/>
          <w:kern w:val="0"/>
          <w:sz w:val="30"/>
          <w:szCs w:val="30"/>
          <w14:textFill>
            <w14:solidFill>
              <w14:schemeClr w14:val="tx1"/>
            </w14:solidFill>
          </w14:textFill>
        </w:rPr>
      </w:pPr>
      <w:bookmarkStart w:id="0" w:name="_Toc7642"/>
      <w:bookmarkStart w:id="1" w:name="_Toc97708363"/>
      <w:r>
        <w:rPr>
          <w:rStyle w:val="26"/>
          <w:rFonts w:hint="eastAsia" w:ascii="宋体" w:hAnsi="宋体" w:cs="宋体"/>
          <w:b/>
          <w:bCs/>
          <w:color w:val="000000" w:themeColor="text1"/>
          <w:kern w:val="0"/>
          <w:sz w:val="30"/>
          <w:szCs w:val="30"/>
          <w14:textFill>
            <w14:solidFill>
              <w14:schemeClr w14:val="tx1"/>
            </w14:solidFill>
          </w14:textFill>
        </w:rPr>
        <w:t>第一章 竞价公告</w:t>
      </w:r>
      <w:bookmarkEnd w:id="0"/>
      <w:bookmarkEnd w:id="1"/>
    </w:p>
    <w:p w14:paraId="07A8F68E">
      <w:pPr>
        <w:spacing w:line="500" w:lineRule="exact"/>
        <w:ind w:firstLine="480" w:firstLineChars="200"/>
        <w:jc w:val="left"/>
        <w:rPr>
          <w:rStyle w:val="26"/>
          <w:rFonts w:ascii="宋体" w:hAnsi="宋体" w:cs="宋体"/>
          <w:color w:val="000000" w:themeColor="text1"/>
          <w:kern w:val="0"/>
          <w:sz w:val="24"/>
          <w:u w:val="single" w:color="000000"/>
          <w14:textFill>
            <w14:solidFill>
              <w14:schemeClr w14:val="tx1"/>
            </w14:solidFill>
          </w14:textFill>
        </w:rPr>
      </w:pPr>
      <w:r>
        <w:rPr>
          <w:rFonts w:hint="eastAsia" w:ascii="宋体" w:hAnsi="宋体" w:cs="宋体"/>
          <w:bCs/>
          <w:sz w:val="24"/>
        </w:rPr>
        <w:t>福建国诚招标有限公司</w:t>
      </w:r>
      <w:r>
        <w:rPr>
          <w:rStyle w:val="26"/>
          <w:rFonts w:hint="eastAsia" w:ascii="宋体" w:hAnsi="宋体" w:cs="宋体"/>
          <w:color w:val="000000" w:themeColor="text1"/>
          <w:kern w:val="0"/>
          <w:sz w:val="24"/>
          <w14:textFill>
            <w14:solidFill>
              <w14:schemeClr w14:val="tx1"/>
            </w14:solidFill>
          </w14:textFill>
        </w:rPr>
        <w:t>受</w:t>
      </w:r>
      <w:r>
        <w:rPr>
          <w:rStyle w:val="26"/>
          <w:rFonts w:hint="eastAsia" w:ascii="宋体" w:hAnsi="宋体" w:cs="宋体"/>
          <w:bCs/>
          <w:color w:val="000000" w:themeColor="text1"/>
          <w:kern w:val="0"/>
          <w:sz w:val="24"/>
          <w:u w:val="single" w:color="000000"/>
          <w14:textFill>
            <w14:solidFill>
              <w14:schemeClr w14:val="tx1"/>
            </w14:solidFill>
          </w14:textFill>
        </w:rPr>
        <w:t>福州职业技术学院</w:t>
      </w:r>
      <w:r>
        <w:rPr>
          <w:rStyle w:val="26"/>
          <w:rFonts w:hint="eastAsia" w:ascii="宋体" w:hAnsi="宋体" w:cs="宋体"/>
          <w:color w:val="000000" w:themeColor="text1"/>
          <w:kern w:val="0"/>
          <w:sz w:val="24"/>
          <w14:textFill>
            <w14:solidFill>
              <w14:schemeClr w14:val="tx1"/>
            </w14:solidFill>
          </w14:textFill>
        </w:rPr>
        <w:t>委托现通过网上竞价的方式选择</w:t>
      </w:r>
      <w:r>
        <w:rPr>
          <w:rStyle w:val="26"/>
          <w:rFonts w:hint="eastAsia" w:ascii="宋体" w:hAnsi="宋体" w:cs="宋体"/>
          <w:color w:val="000000" w:themeColor="text1"/>
          <w:kern w:val="0"/>
          <w:sz w:val="24"/>
          <w:u w:val="single"/>
          <w:lang w:eastAsia="zh-CN"/>
          <w14:textFill>
            <w14:solidFill>
              <w14:schemeClr w14:val="tx1"/>
            </w14:solidFill>
          </w14:textFill>
        </w:rPr>
        <w:t>福州职业技术学院数据中心机房设备维护采购项目</w:t>
      </w:r>
      <w:r>
        <w:rPr>
          <w:rStyle w:val="26"/>
          <w:rFonts w:hint="eastAsia" w:ascii="宋体" w:hAnsi="宋体" w:cs="宋体"/>
          <w:color w:val="000000" w:themeColor="text1"/>
          <w:kern w:val="0"/>
          <w:sz w:val="24"/>
          <w14:textFill>
            <w14:solidFill>
              <w14:schemeClr w14:val="tx1"/>
            </w14:solidFill>
          </w14:textFill>
        </w:rPr>
        <w:t>的成交人，现邀请合格的竞价供应商对</w:t>
      </w:r>
      <w:r>
        <w:rPr>
          <w:rStyle w:val="26"/>
          <w:rFonts w:hint="eastAsia" w:ascii="宋体" w:hAnsi="宋体" w:cs="宋体"/>
          <w:color w:val="000000" w:themeColor="text1"/>
          <w:sz w:val="24"/>
          <w14:textFill>
            <w14:solidFill>
              <w14:schemeClr w14:val="tx1"/>
            </w14:solidFill>
          </w14:textFill>
        </w:rPr>
        <w:t>本项目进行网</w:t>
      </w:r>
      <w:r>
        <w:rPr>
          <w:rStyle w:val="26"/>
          <w:rFonts w:hint="eastAsia" w:ascii="宋体" w:hAnsi="宋体" w:cs="宋体"/>
          <w:color w:val="000000" w:themeColor="text1"/>
          <w:kern w:val="0"/>
          <w:sz w:val="24"/>
          <w14:textFill>
            <w14:solidFill>
              <w14:schemeClr w14:val="tx1"/>
            </w14:solidFill>
          </w14:textFill>
        </w:rPr>
        <w:t>上竞价。</w:t>
      </w:r>
    </w:p>
    <w:p w14:paraId="5F57082C">
      <w:pPr>
        <w:spacing w:line="500" w:lineRule="exact"/>
        <w:ind w:firstLine="480" w:firstLineChars="200"/>
        <w:jc w:val="left"/>
        <w:rPr>
          <w:rStyle w:val="26"/>
          <w:rFonts w:hint="eastAsia" w:ascii="宋体" w:hAnsi="宋体" w:eastAsia="宋体" w:cs="宋体"/>
          <w:color w:val="000000" w:themeColor="text1"/>
          <w:kern w:val="0"/>
          <w:sz w:val="24"/>
          <w:lang w:eastAsia="zh-CN"/>
          <w14:textFill>
            <w14:solidFill>
              <w14:schemeClr w14:val="tx1"/>
            </w14:solidFill>
          </w14:textFill>
        </w:rPr>
      </w:pPr>
      <w:r>
        <w:rPr>
          <w:rStyle w:val="26"/>
          <w:rFonts w:hint="eastAsia" w:ascii="宋体" w:hAnsi="宋体" w:cs="宋体"/>
          <w:color w:val="000000" w:themeColor="text1"/>
          <w:kern w:val="0"/>
          <w:sz w:val="24"/>
          <w14:textFill>
            <w14:solidFill>
              <w14:schemeClr w14:val="tx1"/>
            </w14:solidFill>
          </w14:textFill>
        </w:rPr>
        <w:t>1．竞价编号：</w:t>
      </w:r>
      <w:r>
        <w:rPr>
          <w:rStyle w:val="26"/>
          <w:rFonts w:hint="eastAsia" w:ascii="宋体" w:hAnsi="宋体" w:cs="宋体"/>
          <w:color w:val="000000" w:themeColor="text1"/>
          <w:kern w:val="0"/>
          <w:sz w:val="24"/>
          <w:lang w:eastAsia="zh-CN"/>
          <w14:textFill>
            <w14:solidFill>
              <w14:schemeClr w14:val="tx1"/>
            </w14:solidFill>
          </w14:textFill>
        </w:rPr>
        <w:t>FJGCWSJJ-FS-2026-045</w:t>
      </w:r>
    </w:p>
    <w:p w14:paraId="18EA7E7A">
      <w:pPr>
        <w:spacing w:line="500" w:lineRule="exact"/>
        <w:ind w:firstLine="480" w:firstLineChars="200"/>
        <w:jc w:val="left"/>
        <w:rPr>
          <w:rStyle w:val="26"/>
          <w:rFonts w:hint="eastAsia" w:ascii="宋体" w:hAnsi="宋体" w:eastAsia="宋体" w:cs="宋体"/>
          <w:color w:val="000000" w:themeColor="text1"/>
          <w:kern w:val="0"/>
          <w:sz w:val="24"/>
          <w:lang w:eastAsia="zh-CN"/>
          <w14:textFill>
            <w14:solidFill>
              <w14:schemeClr w14:val="tx1"/>
            </w14:solidFill>
          </w14:textFill>
        </w:rPr>
      </w:pPr>
      <w:r>
        <w:rPr>
          <w:rStyle w:val="26"/>
          <w:rFonts w:hint="eastAsia" w:ascii="宋体" w:hAnsi="宋体" w:cs="宋体"/>
          <w:color w:val="000000" w:themeColor="text1"/>
          <w:kern w:val="0"/>
          <w:sz w:val="24"/>
          <w14:textFill>
            <w14:solidFill>
              <w14:schemeClr w14:val="tx1"/>
            </w14:solidFill>
          </w14:textFill>
        </w:rPr>
        <w:t>2．项目名称：</w:t>
      </w:r>
      <w:r>
        <w:rPr>
          <w:rStyle w:val="26"/>
          <w:rFonts w:hint="eastAsia" w:ascii="宋体" w:hAnsi="宋体" w:cs="宋体"/>
          <w:color w:val="000000" w:themeColor="text1"/>
          <w:kern w:val="0"/>
          <w:sz w:val="24"/>
          <w:lang w:eastAsia="zh-CN"/>
          <w14:textFill>
            <w14:solidFill>
              <w14:schemeClr w14:val="tx1"/>
            </w14:solidFill>
          </w14:textFill>
        </w:rPr>
        <w:t>福州职业技术学院数据中心机房设备维护采购项目</w:t>
      </w:r>
    </w:p>
    <w:p w14:paraId="15FB7EB3">
      <w:pPr>
        <w:spacing w:line="500" w:lineRule="exact"/>
        <w:ind w:firstLine="480" w:firstLineChars="200"/>
        <w:jc w:val="left"/>
        <w:rPr>
          <w:rStyle w:val="26"/>
          <w:rFonts w:ascii="宋体" w:hAnsi="宋体" w:cs="宋体"/>
          <w:color w:val="000000" w:themeColor="text1"/>
          <w:kern w:val="0"/>
          <w:sz w:val="24"/>
          <w14:textFill>
            <w14:solidFill>
              <w14:schemeClr w14:val="tx1"/>
            </w14:solidFill>
          </w14:textFill>
        </w:rPr>
      </w:pPr>
      <w:r>
        <w:rPr>
          <w:rStyle w:val="26"/>
          <w:rFonts w:hint="eastAsia" w:ascii="宋体" w:hAnsi="宋体" w:cs="宋体"/>
          <w:color w:val="000000" w:themeColor="text1"/>
          <w:kern w:val="0"/>
          <w:sz w:val="24"/>
          <w14:textFill>
            <w14:solidFill>
              <w14:schemeClr w14:val="tx1"/>
            </w14:solidFill>
          </w14:textFill>
        </w:rPr>
        <w:t>3．竞价采购</w:t>
      </w:r>
      <w:r>
        <w:rPr>
          <w:rStyle w:val="26"/>
          <w:rFonts w:hint="eastAsia" w:ascii="宋体" w:hAnsi="宋体" w:cs="宋体"/>
          <w:color w:val="000000" w:themeColor="text1"/>
          <w:kern w:val="0"/>
          <w:sz w:val="24"/>
          <w:lang w:val="en-US" w:eastAsia="zh-CN"/>
          <w14:textFill>
            <w14:solidFill>
              <w14:schemeClr w14:val="tx1"/>
            </w14:solidFill>
          </w14:textFill>
        </w:rPr>
        <w:t>服务</w:t>
      </w:r>
      <w:r>
        <w:rPr>
          <w:rStyle w:val="26"/>
          <w:rFonts w:hint="eastAsia" w:ascii="宋体" w:hAnsi="宋体" w:cs="宋体"/>
          <w:color w:val="000000" w:themeColor="text1"/>
          <w:kern w:val="0"/>
          <w:sz w:val="24"/>
          <w14:textFill>
            <w14:solidFill>
              <w14:schemeClr w14:val="tx1"/>
            </w14:solidFill>
          </w14:textFill>
        </w:rPr>
        <w:t>名称、数量及主要技术规格售后</w:t>
      </w:r>
      <w:r>
        <w:rPr>
          <w:rStyle w:val="26"/>
          <w:rFonts w:hint="eastAsia" w:ascii="宋体" w:hAnsi="宋体" w:cs="宋体"/>
          <w:color w:val="000000" w:themeColor="text1"/>
          <w:kern w:val="0"/>
          <w:sz w:val="24"/>
          <w:lang w:eastAsia="zh-CN"/>
          <w14:textFill>
            <w14:solidFill>
              <w14:schemeClr w14:val="tx1"/>
            </w14:solidFill>
          </w14:textFill>
        </w:rPr>
        <w:t>服务</w:t>
      </w:r>
      <w:r>
        <w:rPr>
          <w:rStyle w:val="26"/>
          <w:rFonts w:hint="eastAsia" w:ascii="宋体" w:hAnsi="宋体" w:cs="宋体"/>
          <w:color w:val="000000" w:themeColor="text1"/>
          <w:kern w:val="0"/>
          <w:sz w:val="24"/>
          <w14:textFill>
            <w14:solidFill>
              <w14:schemeClr w14:val="tx1"/>
            </w14:solidFill>
          </w14:textFill>
        </w:rPr>
        <w:t>要求等详见“第二章 网上竞价内容及要求”。</w:t>
      </w:r>
    </w:p>
    <w:p w14:paraId="7FF81775">
      <w:pPr>
        <w:spacing w:line="500" w:lineRule="exact"/>
        <w:ind w:firstLine="480" w:firstLineChars="200"/>
        <w:rPr>
          <w:rStyle w:val="26"/>
          <w:rFonts w:ascii="宋体" w:hAnsi="宋体" w:cs="宋体"/>
          <w:color w:val="000000" w:themeColor="text1"/>
          <w:kern w:val="0"/>
          <w:sz w:val="24"/>
          <w14:textFill>
            <w14:solidFill>
              <w14:schemeClr w14:val="tx1"/>
            </w14:solidFill>
          </w14:textFill>
        </w:rPr>
      </w:pPr>
      <w:r>
        <w:rPr>
          <w:rStyle w:val="26"/>
          <w:rFonts w:hint="eastAsia" w:ascii="宋体" w:hAnsi="宋体" w:cs="宋体"/>
          <w:color w:val="000000" w:themeColor="text1"/>
          <w:kern w:val="0"/>
          <w:sz w:val="24"/>
          <w14:textFill>
            <w14:solidFill>
              <w14:schemeClr w14:val="tx1"/>
            </w14:solidFill>
          </w14:textFill>
        </w:rPr>
        <w:t>4．时间：</w:t>
      </w:r>
    </w:p>
    <w:p w14:paraId="35E80964">
      <w:pPr>
        <w:spacing w:line="500" w:lineRule="exact"/>
        <w:ind w:firstLine="480" w:firstLineChars="200"/>
        <w:rPr>
          <w:rFonts w:ascii="宋体" w:hAnsi="宋体" w:cs="宋体"/>
          <w:sz w:val="24"/>
        </w:rPr>
      </w:pPr>
      <w:r>
        <w:rPr>
          <w:rFonts w:hint="eastAsia" w:ascii="宋体" w:hAnsi="宋体" w:cs="宋体"/>
          <w:sz w:val="24"/>
        </w:rPr>
        <w:t>公告起始时间：2026年</w:t>
      </w:r>
      <w:r>
        <w:rPr>
          <w:rFonts w:hint="eastAsia" w:ascii="宋体" w:hAnsi="宋体" w:cs="宋体"/>
          <w:sz w:val="24"/>
          <w:lang w:val="en-US" w:eastAsia="zh-CN"/>
        </w:rPr>
        <w:t>8</w:t>
      </w:r>
      <w:r>
        <w:rPr>
          <w:rFonts w:hint="eastAsia" w:ascii="宋体" w:hAnsi="宋体" w:cs="宋体"/>
          <w:sz w:val="24"/>
        </w:rPr>
        <w:t>月</w:t>
      </w:r>
      <w:r>
        <w:rPr>
          <w:rFonts w:hint="eastAsia" w:ascii="宋体" w:hAnsi="宋体" w:cs="宋体"/>
          <w:sz w:val="24"/>
          <w:lang w:val="en-US" w:eastAsia="zh-CN"/>
        </w:rPr>
        <w:t>11</w:t>
      </w:r>
      <w:r>
        <w:rPr>
          <w:rFonts w:hint="eastAsia" w:ascii="宋体" w:hAnsi="宋体" w:cs="宋体"/>
          <w:sz w:val="24"/>
        </w:rPr>
        <w:t>日</w:t>
      </w:r>
      <w:r>
        <w:rPr>
          <w:rFonts w:hint="eastAsia" w:ascii="宋体" w:hAnsi="宋体" w:cs="宋体"/>
          <w:sz w:val="24"/>
          <w:lang w:val="en-US" w:eastAsia="zh-CN"/>
        </w:rPr>
        <w:t>17</w:t>
      </w:r>
      <w:r>
        <w:rPr>
          <w:rFonts w:hint="eastAsia" w:ascii="宋体" w:hAnsi="宋体" w:cs="宋体"/>
          <w:sz w:val="24"/>
        </w:rPr>
        <w:t>:00:00</w:t>
      </w:r>
    </w:p>
    <w:p w14:paraId="2F2B8A22">
      <w:pPr>
        <w:spacing w:line="500" w:lineRule="exact"/>
        <w:ind w:firstLine="480" w:firstLineChars="200"/>
        <w:rPr>
          <w:rFonts w:ascii="宋体" w:hAnsi="宋体" w:cs="宋体"/>
          <w:sz w:val="24"/>
        </w:rPr>
      </w:pPr>
      <w:r>
        <w:rPr>
          <w:rFonts w:hint="eastAsia" w:ascii="宋体" w:hAnsi="宋体" w:cs="宋体"/>
          <w:sz w:val="24"/>
        </w:rPr>
        <w:t>报名截止时间：2026年</w:t>
      </w:r>
      <w:r>
        <w:rPr>
          <w:rFonts w:hint="eastAsia" w:ascii="宋体" w:hAnsi="宋体" w:cs="宋体"/>
          <w:sz w:val="24"/>
          <w:lang w:val="en-US" w:eastAsia="zh-CN"/>
        </w:rPr>
        <w:t>8</w:t>
      </w:r>
      <w:r>
        <w:rPr>
          <w:rFonts w:hint="eastAsia" w:ascii="宋体" w:hAnsi="宋体" w:cs="宋体"/>
          <w:sz w:val="24"/>
        </w:rPr>
        <w:t>月</w:t>
      </w:r>
      <w:r>
        <w:rPr>
          <w:rFonts w:hint="eastAsia" w:ascii="宋体" w:hAnsi="宋体" w:cs="宋体"/>
          <w:sz w:val="24"/>
          <w:lang w:val="en-US" w:eastAsia="zh-CN"/>
        </w:rPr>
        <w:t>14</w:t>
      </w:r>
      <w:r>
        <w:rPr>
          <w:rFonts w:hint="eastAsia" w:ascii="宋体" w:hAnsi="宋体" w:cs="宋体"/>
          <w:sz w:val="24"/>
        </w:rPr>
        <w:t>日1</w:t>
      </w:r>
      <w:r>
        <w:rPr>
          <w:rFonts w:hint="eastAsia" w:ascii="宋体" w:hAnsi="宋体" w:cs="宋体"/>
          <w:sz w:val="24"/>
          <w:lang w:val="en-US" w:eastAsia="zh-CN"/>
        </w:rPr>
        <w:t>7</w:t>
      </w:r>
      <w:r>
        <w:rPr>
          <w:rFonts w:hint="eastAsia" w:ascii="宋体" w:hAnsi="宋体" w:cs="宋体"/>
          <w:sz w:val="24"/>
        </w:rPr>
        <w:t>:00:00</w:t>
      </w:r>
    </w:p>
    <w:p w14:paraId="0C820529">
      <w:pPr>
        <w:spacing w:line="500" w:lineRule="exact"/>
        <w:ind w:firstLine="480" w:firstLineChars="200"/>
        <w:rPr>
          <w:rFonts w:ascii="宋体" w:hAnsi="宋体" w:cs="宋体"/>
          <w:sz w:val="24"/>
        </w:rPr>
      </w:pPr>
      <w:r>
        <w:rPr>
          <w:rFonts w:hint="eastAsia" w:ascii="宋体" w:hAnsi="宋体" w:cs="宋体"/>
          <w:sz w:val="24"/>
        </w:rPr>
        <w:t>网上竞价开始时间：2026年</w:t>
      </w:r>
      <w:r>
        <w:rPr>
          <w:rFonts w:hint="eastAsia" w:ascii="宋体" w:hAnsi="宋体" w:cs="宋体"/>
          <w:sz w:val="24"/>
          <w:lang w:val="en-US" w:eastAsia="zh-CN"/>
        </w:rPr>
        <w:t>8</w:t>
      </w:r>
      <w:r>
        <w:rPr>
          <w:rFonts w:hint="eastAsia" w:ascii="宋体" w:hAnsi="宋体" w:cs="宋体"/>
          <w:sz w:val="24"/>
        </w:rPr>
        <w:t>月</w:t>
      </w:r>
      <w:r>
        <w:rPr>
          <w:rFonts w:hint="eastAsia" w:ascii="宋体" w:hAnsi="宋体" w:cs="宋体"/>
          <w:sz w:val="24"/>
          <w:lang w:val="en-US" w:eastAsia="zh-CN"/>
        </w:rPr>
        <w:t>17</w:t>
      </w:r>
      <w:r>
        <w:rPr>
          <w:rFonts w:hint="eastAsia" w:ascii="宋体" w:hAnsi="宋体" w:cs="宋体"/>
          <w:sz w:val="24"/>
        </w:rPr>
        <w:t>日09:00:00</w:t>
      </w:r>
    </w:p>
    <w:p w14:paraId="13CE627E">
      <w:pPr>
        <w:spacing w:line="500" w:lineRule="exact"/>
        <w:ind w:firstLine="480" w:firstLineChars="200"/>
        <w:rPr>
          <w:rFonts w:ascii="宋体" w:hAnsi="宋体" w:cs="宋体"/>
          <w:sz w:val="24"/>
        </w:rPr>
      </w:pPr>
      <w:r>
        <w:rPr>
          <w:rFonts w:hint="eastAsia" w:ascii="宋体" w:hAnsi="宋体" w:cs="宋体"/>
          <w:sz w:val="24"/>
        </w:rPr>
        <w:t>网上竞价截止时间：2026年</w:t>
      </w:r>
      <w:r>
        <w:rPr>
          <w:rFonts w:hint="eastAsia" w:ascii="宋体" w:hAnsi="宋体" w:cs="宋体"/>
          <w:sz w:val="24"/>
          <w:lang w:val="en-US" w:eastAsia="zh-CN"/>
        </w:rPr>
        <w:t>8</w:t>
      </w:r>
      <w:r>
        <w:rPr>
          <w:rFonts w:hint="eastAsia" w:ascii="宋体" w:hAnsi="宋体" w:cs="宋体"/>
          <w:sz w:val="24"/>
        </w:rPr>
        <w:t>月</w:t>
      </w:r>
      <w:r>
        <w:rPr>
          <w:rFonts w:hint="eastAsia" w:ascii="宋体" w:hAnsi="宋体" w:cs="宋体"/>
          <w:sz w:val="24"/>
          <w:lang w:val="en-US" w:eastAsia="zh-CN"/>
        </w:rPr>
        <w:t>17</w:t>
      </w:r>
      <w:r>
        <w:rPr>
          <w:rFonts w:hint="eastAsia" w:ascii="宋体" w:hAnsi="宋体" w:cs="宋体"/>
          <w:sz w:val="24"/>
        </w:rPr>
        <w:t>日11:00:00</w:t>
      </w:r>
    </w:p>
    <w:p w14:paraId="3B966C0D">
      <w:pPr>
        <w:spacing w:line="500" w:lineRule="exact"/>
        <w:ind w:firstLine="480" w:firstLineChars="200"/>
        <w:rPr>
          <w:rStyle w:val="26"/>
          <w:rFonts w:ascii="宋体" w:hAnsi="宋体" w:cs="宋体"/>
          <w:color w:val="000000" w:themeColor="text1"/>
          <w:kern w:val="0"/>
          <w:sz w:val="24"/>
          <w14:textFill>
            <w14:solidFill>
              <w14:schemeClr w14:val="tx1"/>
            </w14:solidFill>
          </w14:textFill>
        </w:rPr>
      </w:pPr>
      <w:r>
        <w:rPr>
          <w:rStyle w:val="26"/>
          <w:rFonts w:hint="eastAsia" w:ascii="宋体" w:hAnsi="宋体" w:cs="宋体"/>
          <w:color w:val="000000" w:themeColor="text1"/>
          <w:kern w:val="0"/>
          <w:sz w:val="24"/>
          <w14:textFill>
            <w14:solidFill>
              <w14:schemeClr w14:val="tx1"/>
            </w14:solidFill>
          </w14:textFill>
        </w:rPr>
        <w:t>5.</w:t>
      </w:r>
      <w:r>
        <w:rPr>
          <w:rStyle w:val="26"/>
          <w:rFonts w:hint="eastAsia" w:ascii="宋体" w:hAnsi="宋体" w:cs="宋体"/>
          <w:color w:val="000000" w:themeColor="text1"/>
          <w:sz w:val="24"/>
          <w14:textFill>
            <w14:solidFill>
              <w14:schemeClr w14:val="tx1"/>
            </w14:solidFill>
          </w14:textFill>
        </w:rPr>
        <w:t>本项目须有三家(含三家)以上竞价供应商参与报价，</w:t>
      </w:r>
      <w:r>
        <w:rPr>
          <w:rStyle w:val="26"/>
          <w:rFonts w:hint="eastAsia" w:ascii="宋体" w:hAnsi="宋体" w:cs="宋体"/>
          <w:color w:val="000000" w:themeColor="text1"/>
          <w:kern w:val="0"/>
          <w:sz w:val="24"/>
          <w14:textFill>
            <w14:solidFill>
              <w14:schemeClr w14:val="tx1"/>
            </w14:solidFill>
          </w14:textFill>
        </w:rPr>
        <w:t>否则本项目按流标处理。</w:t>
      </w:r>
    </w:p>
    <w:p w14:paraId="168C23D6">
      <w:pPr>
        <w:spacing w:line="500" w:lineRule="exact"/>
        <w:ind w:firstLine="480" w:firstLineChars="200"/>
        <w:jc w:val="left"/>
        <w:rPr>
          <w:rStyle w:val="26"/>
          <w:rFonts w:ascii="宋体" w:hAnsi="宋体" w:cs="宋体"/>
          <w:color w:val="000000" w:themeColor="text1"/>
          <w:kern w:val="0"/>
          <w:sz w:val="24"/>
          <w14:textFill>
            <w14:solidFill>
              <w14:schemeClr w14:val="tx1"/>
            </w14:solidFill>
          </w14:textFill>
        </w:rPr>
      </w:pPr>
      <w:r>
        <w:rPr>
          <w:rStyle w:val="26"/>
          <w:rFonts w:hint="eastAsia" w:ascii="宋体" w:hAnsi="宋体" w:cs="宋体"/>
          <w:color w:val="000000" w:themeColor="text1"/>
          <w:kern w:val="0"/>
          <w:sz w:val="24"/>
          <w14:textFill>
            <w14:solidFill>
              <w14:schemeClr w14:val="tx1"/>
            </w14:solidFill>
          </w14:textFill>
        </w:rPr>
        <w:t>6.本项目不接受联合体投标。本项目不得转包。</w:t>
      </w:r>
    </w:p>
    <w:p w14:paraId="4225255E">
      <w:pPr>
        <w:spacing w:line="500" w:lineRule="exact"/>
        <w:ind w:firstLine="480" w:firstLineChars="200"/>
        <w:jc w:val="left"/>
        <w:rPr>
          <w:rStyle w:val="26"/>
          <w:rFonts w:ascii="宋体" w:hAnsi="宋体" w:cs="宋体"/>
          <w:bCs/>
          <w:color w:val="000000" w:themeColor="text1"/>
          <w:sz w:val="24"/>
          <w14:textFill>
            <w14:solidFill>
              <w14:schemeClr w14:val="tx1"/>
            </w14:solidFill>
          </w14:textFill>
        </w:rPr>
      </w:pPr>
      <w:r>
        <w:rPr>
          <w:rStyle w:val="26"/>
          <w:rFonts w:hint="eastAsia" w:ascii="宋体" w:hAnsi="宋体" w:cs="宋体"/>
          <w:color w:val="000000" w:themeColor="text1"/>
          <w:kern w:val="0"/>
          <w:sz w:val="24"/>
          <w14:textFill>
            <w14:solidFill>
              <w14:schemeClr w14:val="tx1"/>
            </w14:solidFill>
          </w14:textFill>
        </w:rPr>
        <w:t>7．</w:t>
      </w:r>
      <w:r>
        <w:rPr>
          <w:rStyle w:val="26"/>
          <w:rFonts w:hint="eastAsia" w:ascii="宋体" w:hAnsi="宋体" w:cs="宋体"/>
          <w:bCs/>
          <w:color w:val="000000" w:themeColor="text1"/>
          <w:sz w:val="24"/>
          <w14:textFill>
            <w14:solidFill>
              <w14:schemeClr w14:val="tx1"/>
            </w14:solidFill>
          </w14:textFill>
        </w:rPr>
        <w:t>联系方式</w:t>
      </w:r>
    </w:p>
    <w:p w14:paraId="1C4AAE3F">
      <w:pPr>
        <w:spacing w:line="500" w:lineRule="exact"/>
        <w:ind w:firstLine="480" w:firstLineChars="200"/>
        <w:rPr>
          <w:rStyle w:val="26"/>
          <w:rFonts w:ascii="宋体" w:hAnsi="宋体" w:cs="宋体"/>
          <w:color w:val="000000" w:themeColor="text1"/>
          <w:sz w:val="24"/>
          <w14:textFill>
            <w14:solidFill>
              <w14:schemeClr w14:val="tx1"/>
            </w14:solidFill>
          </w14:textFill>
        </w:rPr>
      </w:pPr>
      <w:r>
        <w:rPr>
          <w:rStyle w:val="26"/>
          <w:rFonts w:hint="eastAsia" w:ascii="宋体" w:hAnsi="宋体" w:cs="宋体"/>
          <w:color w:val="000000" w:themeColor="text1"/>
          <w:sz w:val="24"/>
          <w14:textFill>
            <w14:solidFill>
              <w14:schemeClr w14:val="tx1"/>
            </w14:solidFill>
          </w14:textFill>
        </w:rPr>
        <w:t>采购人：福州职业技术学院</w:t>
      </w:r>
    </w:p>
    <w:p w14:paraId="3DF2B06F">
      <w:pPr>
        <w:spacing w:line="500" w:lineRule="exact"/>
        <w:ind w:firstLine="480" w:firstLineChars="200"/>
        <w:rPr>
          <w:rStyle w:val="26"/>
          <w:rFonts w:ascii="宋体" w:hAnsi="宋体" w:cs="宋体"/>
          <w:color w:val="000000" w:themeColor="text1"/>
          <w:sz w:val="24"/>
          <w14:textFill>
            <w14:solidFill>
              <w14:schemeClr w14:val="tx1"/>
            </w14:solidFill>
          </w14:textFill>
        </w:rPr>
      </w:pPr>
      <w:r>
        <w:rPr>
          <w:rStyle w:val="26"/>
          <w:rFonts w:hint="eastAsia" w:ascii="宋体" w:hAnsi="宋体" w:cs="宋体"/>
          <w:color w:val="000000" w:themeColor="text1"/>
          <w:sz w:val="24"/>
          <w14:textFill>
            <w14:solidFill>
              <w14:schemeClr w14:val="tx1"/>
            </w14:solidFill>
          </w14:textFill>
        </w:rPr>
        <w:t>地址：福州市闽侯上街联榕路8号</w:t>
      </w:r>
    </w:p>
    <w:p w14:paraId="4C435B84">
      <w:pPr>
        <w:spacing w:line="500" w:lineRule="exact"/>
        <w:ind w:firstLine="480" w:firstLineChars="200"/>
        <w:rPr>
          <w:rStyle w:val="26"/>
          <w:rFonts w:ascii="宋体" w:hAnsi="宋体" w:cs="宋体"/>
          <w:color w:val="000000" w:themeColor="text1"/>
          <w:sz w:val="24"/>
          <w:highlight w:val="yellow"/>
          <w14:textFill>
            <w14:solidFill>
              <w14:schemeClr w14:val="tx1"/>
            </w14:solidFill>
          </w14:textFill>
        </w:rPr>
      </w:pPr>
      <w:r>
        <w:rPr>
          <w:rStyle w:val="26"/>
          <w:rFonts w:hint="eastAsia" w:ascii="宋体" w:hAnsi="宋体" w:cs="宋体"/>
          <w:color w:val="000000" w:themeColor="text1"/>
          <w:sz w:val="24"/>
          <w14:textFill>
            <w14:solidFill>
              <w14:schemeClr w14:val="tx1"/>
            </w14:solidFill>
          </w14:textFill>
        </w:rPr>
        <w:t>联系人及电话</w:t>
      </w:r>
      <w:r>
        <w:rPr>
          <w:rStyle w:val="26"/>
          <w:rFonts w:hint="eastAsia" w:ascii="宋体" w:hAnsi="宋体" w:eastAsia="宋体" w:cs="宋体"/>
          <w:color w:val="000000" w:themeColor="text1"/>
          <w:sz w:val="24"/>
          <w14:textFill>
            <w14:solidFill>
              <w14:schemeClr w14:val="tx1"/>
            </w14:solidFill>
          </w14:textFill>
        </w:rPr>
        <w:t>：</w:t>
      </w:r>
      <w:r>
        <w:rPr>
          <w:rStyle w:val="26"/>
          <w:rFonts w:hint="eastAsia" w:ascii="宋体" w:hAnsi="宋体" w:eastAsia="宋体" w:cs="宋体"/>
          <w:color w:val="000000" w:themeColor="text1"/>
          <w:sz w:val="24"/>
          <w:lang w:val="en-US" w:eastAsia="zh-CN"/>
          <w14:textFill>
            <w14:solidFill>
              <w14:schemeClr w14:val="tx1"/>
            </w14:solidFill>
          </w14:textFill>
        </w:rPr>
        <w:t>陈老师</w:t>
      </w:r>
      <w:r>
        <w:rPr>
          <w:rStyle w:val="26"/>
          <w:rFonts w:hint="eastAsia" w:ascii="宋体" w:hAnsi="宋体" w:eastAsia="宋体" w:cs="宋体"/>
          <w:color w:val="000000" w:themeColor="text1"/>
          <w:sz w:val="24"/>
          <w14:textFill>
            <w14:solidFill>
              <w14:schemeClr w14:val="tx1"/>
            </w14:solidFill>
          </w14:textFill>
        </w:rPr>
        <w:t>/13609539907</w:t>
      </w:r>
      <w:r>
        <w:rPr>
          <w:rStyle w:val="26"/>
          <w:rFonts w:hint="eastAsia" w:ascii="宋体" w:hAnsi="宋体" w:eastAsia="宋体" w:cs="宋体"/>
          <w:color w:val="000000" w:themeColor="text1"/>
          <w:sz w:val="24"/>
          <w:lang w:val="en-US" w:eastAsia="zh-CN"/>
          <w14:textFill>
            <w14:solidFill>
              <w14:schemeClr w14:val="tx1"/>
            </w14:solidFill>
          </w14:textFill>
        </w:rPr>
        <w:t xml:space="preserve"> </w:t>
      </w:r>
      <w:r>
        <w:rPr>
          <w:rStyle w:val="26"/>
          <w:rFonts w:hint="eastAsia" w:ascii="宋体" w:hAnsi="宋体" w:cs="宋体"/>
          <w:color w:val="000000" w:themeColor="text1"/>
          <w:sz w:val="24"/>
          <w:highlight w:val="none"/>
          <w:u w:val="single"/>
          <w14:textFill>
            <w14:solidFill>
              <w14:schemeClr w14:val="tx1"/>
            </w14:solidFill>
          </w14:textFill>
        </w:rPr>
        <w:t xml:space="preserve">  </w:t>
      </w:r>
    </w:p>
    <w:p w14:paraId="60DBC6EF">
      <w:pPr>
        <w:spacing w:line="500" w:lineRule="exact"/>
        <w:ind w:firstLine="480" w:firstLineChars="200"/>
        <w:rPr>
          <w:rStyle w:val="26"/>
          <w:rFonts w:ascii="宋体" w:hAnsi="宋体" w:cs="宋体"/>
          <w:color w:val="000000" w:themeColor="text1"/>
          <w:sz w:val="24"/>
          <w14:textFill>
            <w14:solidFill>
              <w14:schemeClr w14:val="tx1"/>
            </w14:solidFill>
          </w14:textFill>
        </w:rPr>
      </w:pPr>
      <w:r>
        <w:rPr>
          <w:rStyle w:val="26"/>
          <w:rFonts w:hint="eastAsia" w:ascii="宋体" w:hAnsi="宋体" w:cs="宋体"/>
          <w:color w:val="000000" w:themeColor="text1"/>
          <w:sz w:val="24"/>
          <w14:textFill>
            <w14:solidFill>
              <w14:schemeClr w14:val="tx1"/>
            </w14:solidFill>
          </w14:textFill>
        </w:rPr>
        <w:t>采购代理机构：</w:t>
      </w:r>
      <w:r>
        <w:rPr>
          <w:rFonts w:hint="eastAsia" w:ascii="宋体" w:hAnsi="宋体" w:cs="宋体"/>
          <w:bCs/>
          <w:sz w:val="24"/>
        </w:rPr>
        <w:t>福建国诚招标有限公司</w:t>
      </w:r>
    </w:p>
    <w:p w14:paraId="4A4EA21E">
      <w:pPr>
        <w:spacing w:line="500" w:lineRule="exact"/>
        <w:ind w:firstLine="480" w:firstLineChars="200"/>
        <w:rPr>
          <w:rStyle w:val="26"/>
          <w:rFonts w:ascii="宋体" w:hAnsi="宋体" w:cs="宋体"/>
          <w:color w:val="000000" w:themeColor="text1"/>
          <w:sz w:val="24"/>
          <w14:textFill>
            <w14:solidFill>
              <w14:schemeClr w14:val="tx1"/>
            </w14:solidFill>
          </w14:textFill>
        </w:rPr>
      </w:pPr>
      <w:r>
        <w:rPr>
          <w:rStyle w:val="26"/>
          <w:rFonts w:hint="eastAsia" w:ascii="宋体" w:hAnsi="宋体" w:cs="宋体"/>
          <w:color w:val="000000" w:themeColor="text1"/>
          <w:sz w:val="24"/>
          <w14:textFill>
            <w14:solidFill>
              <w14:schemeClr w14:val="tx1"/>
            </w14:solidFill>
          </w14:textFill>
        </w:rPr>
        <w:t>地  址：</w:t>
      </w:r>
      <w:r>
        <w:rPr>
          <w:rFonts w:hint="eastAsia" w:ascii="宋体" w:hAnsi="宋体" w:cs="宋体"/>
          <w:color w:val="000000" w:themeColor="text1"/>
          <w:sz w:val="24"/>
          <w14:textFill>
            <w14:solidFill>
              <w14:schemeClr w14:val="tx1"/>
            </w14:solidFill>
          </w14:textFill>
        </w:rPr>
        <w:t>福州市古田路107号中美大厦24层</w:t>
      </w:r>
    </w:p>
    <w:p w14:paraId="2080F7C4">
      <w:pPr>
        <w:spacing w:line="500" w:lineRule="exact"/>
        <w:ind w:firstLine="480" w:firstLineChars="200"/>
        <w:rPr>
          <w:rStyle w:val="26"/>
          <w:rFonts w:ascii="宋体" w:hAnsi="宋体" w:cs="宋体"/>
          <w:color w:val="000000" w:themeColor="text1"/>
          <w:sz w:val="24"/>
          <w14:textFill>
            <w14:solidFill>
              <w14:schemeClr w14:val="tx1"/>
            </w14:solidFill>
          </w14:textFill>
        </w:rPr>
      </w:pPr>
      <w:r>
        <w:rPr>
          <w:rStyle w:val="26"/>
          <w:rFonts w:hint="eastAsia" w:ascii="宋体" w:hAnsi="宋体" w:cs="宋体"/>
          <w:color w:val="000000" w:themeColor="text1"/>
          <w:sz w:val="24"/>
          <w14:textFill>
            <w14:solidFill>
              <w14:schemeClr w14:val="tx1"/>
            </w14:solidFill>
          </w14:textFill>
        </w:rPr>
        <w:t>邮  编：350001</w:t>
      </w:r>
    </w:p>
    <w:p w14:paraId="169FC36E">
      <w:pPr>
        <w:spacing w:line="500" w:lineRule="exact"/>
        <w:ind w:firstLine="480" w:firstLineChars="200"/>
        <w:rPr>
          <w:rStyle w:val="26"/>
          <w:rFonts w:ascii="宋体" w:hAnsi="宋体" w:cs="宋体"/>
          <w:color w:val="000000" w:themeColor="text1"/>
          <w:sz w:val="24"/>
          <w14:textFill>
            <w14:solidFill>
              <w14:schemeClr w14:val="tx1"/>
            </w14:solidFill>
          </w14:textFill>
        </w:rPr>
      </w:pPr>
      <w:r>
        <w:rPr>
          <w:rStyle w:val="26"/>
          <w:rFonts w:hint="eastAsia" w:ascii="宋体" w:hAnsi="宋体" w:cs="宋体"/>
          <w:color w:val="000000" w:themeColor="text1"/>
          <w:sz w:val="24"/>
          <w14:textFill>
            <w14:solidFill>
              <w14:schemeClr w14:val="tx1"/>
            </w14:solidFill>
          </w14:textFill>
        </w:rPr>
        <w:t>电  话：</w:t>
      </w:r>
      <w:r>
        <w:rPr>
          <w:rFonts w:hint="eastAsia" w:ascii="宋体" w:hAnsi="宋体" w:cs="宋体"/>
          <w:bCs/>
          <w:sz w:val="24"/>
        </w:rPr>
        <w:t>0591-83393306、07</w:t>
      </w:r>
    </w:p>
    <w:p w14:paraId="64513CDF">
      <w:pPr>
        <w:spacing w:line="500" w:lineRule="exact"/>
        <w:ind w:firstLine="480" w:firstLineChars="200"/>
        <w:rPr>
          <w:rStyle w:val="26"/>
          <w:rFonts w:ascii="宋体" w:hAnsi="宋体" w:cs="宋体"/>
          <w:color w:val="000000" w:themeColor="text1"/>
          <w:sz w:val="24"/>
          <w14:textFill>
            <w14:solidFill>
              <w14:schemeClr w14:val="tx1"/>
            </w14:solidFill>
          </w14:textFill>
        </w:rPr>
      </w:pPr>
      <w:r>
        <w:rPr>
          <w:rStyle w:val="26"/>
          <w:rFonts w:hint="eastAsia" w:ascii="宋体" w:hAnsi="宋体" w:cs="宋体"/>
          <w:color w:val="000000" w:themeColor="text1"/>
          <w:sz w:val="24"/>
          <w14:textFill>
            <w14:solidFill>
              <w14:schemeClr w14:val="tx1"/>
            </w14:solidFill>
          </w14:textFill>
        </w:rPr>
        <w:t>项目负责人：</w:t>
      </w:r>
      <w:r>
        <w:rPr>
          <w:rStyle w:val="26"/>
          <w:rFonts w:hint="eastAsia" w:ascii="宋体" w:hAnsi="宋体" w:cs="宋体"/>
          <w:color w:val="000000" w:themeColor="text1"/>
          <w:sz w:val="24"/>
          <w:lang w:eastAsia="zh-CN"/>
          <w14:textFill>
            <w14:solidFill>
              <w14:schemeClr w14:val="tx1"/>
            </w14:solidFill>
          </w14:textFill>
        </w:rPr>
        <w:t>陈伟、张林丽</w:t>
      </w:r>
    </w:p>
    <w:p w14:paraId="578D6888">
      <w:pPr>
        <w:spacing w:line="500" w:lineRule="exact"/>
        <w:ind w:firstLine="480" w:firstLineChars="200"/>
        <w:rPr>
          <w:rStyle w:val="26"/>
          <w:rFonts w:ascii="宋体" w:hAnsi="宋体" w:cs="宋体"/>
          <w:color w:val="000000" w:themeColor="text1"/>
          <w:sz w:val="24"/>
          <w14:textFill>
            <w14:solidFill>
              <w14:schemeClr w14:val="tx1"/>
            </w14:solidFill>
          </w14:textFill>
        </w:rPr>
      </w:pPr>
      <w:r>
        <w:rPr>
          <w:rStyle w:val="26"/>
          <w:rFonts w:hint="eastAsia" w:ascii="宋体" w:hAnsi="宋体" w:cs="宋体"/>
          <w:color w:val="000000" w:themeColor="text1"/>
          <w:sz w:val="24"/>
          <w14:textFill>
            <w14:solidFill>
              <w14:schemeClr w14:val="tx1"/>
            </w14:solidFill>
          </w14:textFill>
        </w:rPr>
        <w:t>公司网址：http://www.fjgczb.com</w:t>
      </w:r>
    </w:p>
    <w:p w14:paraId="50372898">
      <w:pPr>
        <w:spacing w:line="500" w:lineRule="exact"/>
        <w:ind w:firstLine="480" w:firstLineChars="200"/>
        <w:rPr>
          <w:rStyle w:val="26"/>
          <w:rFonts w:ascii="宋体" w:hAnsi="宋体" w:cs="宋体"/>
          <w:color w:val="000000" w:themeColor="text1"/>
          <w:sz w:val="24"/>
          <w14:textFill>
            <w14:solidFill>
              <w14:schemeClr w14:val="tx1"/>
            </w14:solidFill>
          </w14:textFill>
        </w:rPr>
      </w:pPr>
      <w:r>
        <w:rPr>
          <w:rStyle w:val="26"/>
          <w:rFonts w:hint="eastAsia" w:ascii="宋体" w:hAnsi="宋体" w:cs="宋体"/>
          <w:color w:val="000000" w:themeColor="text1"/>
          <w:sz w:val="24"/>
          <w14:textFill>
            <w14:solidFill>
              <w14:schemeClr w14:val="tx1"/>
            </w14:solidFill>
          </w14:textFill>
        </w:rPr>
        <w:t>电子邮箱：83393301@163.com</w:t>
      </w:r>
    </w:p>
    <w:p w14:paraId="7A18D252">
      <w:pPr>
        <w:spacing w:line="500" w:lineRule="exact"/>
        <w:ind w:firstLine="480" w:firstLineChars="200"/>
        <w:rPr>
          <w:rStyle w:val="26"/>
          <w:rFonts w:ascii="宋体" w:hAnsi="宋体" w:cs="宋体"/>
          <w:color w:val="000000" w:themeColor="text1"/>
          <w:sz w:val="24"/>
          <w14:textFill>
            <w14:solidFill>
              <w14:schemeClr w14:val="tx1"/>
            </w14:solidFill>
          </w14:textFill>
        </w:rPr>
      </w:pPr>
      <w:r>
        <w:rPr>
          <w:rStyle w:val="26"/>
          <w:rFonts w:hint="eastAsia" w:ascii="宋体" w:hAnsi="宋体" w:cs="宋体"/>
          <w:color w:val="000000" w:themeColor="text1"/>
          <w:sz w:val="24"/>
          <w14:textFill>
            <w14:solidFill>
              <w14:schemeClr w14:val="tx1"/>
            </w14:solidFill>
          </w14:textFill>
        </w:rPr>
        <w:t>8.有关本项目的相关信息(包括文件若有修改补充)，</w:t>
      </w:r>
      <w:r>
        <w:rPr>
          <w:rFonts w:hint="eastAsia" w:ascii="宋体" w:hAnsi="宋体" w:cs="宋体"/>
          <w:bCs/>
          <w:color w:val="000000" w:themeColor="text1"/>
          <w:sz w:val="24"/>
          <w14:textFill>
            <w14:solidFill>
              <w14:schemeClr w14:val="tx1"/>
            </w14:solidFill>
          </w14:textFill>
        </w:rPr>
        <w:t>福建国诚招标有限公司</w:t>
      </w:r>
      <w:r>
        <w:rPr>
          <w:rStyle w:val="26"/>
          <w:rFonts w:hint="eastAsia" w:ascii="宋体" w:hAnsi="宋体" w:cs="宋体"/>
          <w:color w:val="000000" w:themeColor="text1"/>
          <w:sz w:val="24"/>
          <w14:textFill>
            <w14:solidFill>
              <w14:schemeClr w14:val="tx1"/>
            </w14:solidFill>
          </w14:textFill>
        </w:rPr>
        <w:t>将通过以下媒介发布通知，请潜在竞价供应商随时关注相关网站，以免错漏重要信息。</w:t>
      </w:r>
    </w:p>
    <w:p w14:paraId="02CDB1C1">
      <w:pPr>
        <w:pStyle w:val="36"/>
        <w:spacing w:beforeAutospacing="0" w:afterAutospacing="0" w:line="500" w:lineRule="exact"/>
        <w:ind w:firstLine="480" w:firstLineChars="200"/>
        <w:rPr>
          <w:rFonts w:cs="宋体"/>
          <w:b w:val="0"/>
          <w:bCs/>
          <w:color w:val="000000"/>
          <w:kern w:val="2"/>
          <w:sz w:val="24"/>
          <w:szCs w:val="24"/>
        </w:rPr>
      </w:pPr>
      <w:r>
        <w:rPr>
          <w:rFonts w:hint="eastAsia" w:cs="宋体"/>
          <w:b w:val="0"/>
          <w:bCs/>
          <w:color w:val="000000"/>
          <w:kern w:val="2"/>
          <w:sz w:val="24"/>
          <w:szCs w:val="24"/>
        </w:rPr>
        <w:t>(1)工采通电子招投标交易平台网站(</w:t>
      </w:r>
      <w:r>
        <w:rPr>
          <w:rFonts w:cs="宋体"/>
          <w:b w:val="0"/>
          <w:bCs/>
          <w:kern w:val="2"/>
          <w:sz w:val="24"/>
          <w:szCs w:val="24"/>
        </w:rPr>
        <w:t>https://easy-prt.com/home</w:t>
      </w:r>
      <w:r>
        <w:rPr>
          <w:rFonts w:hint="eastAsia" w:cs="宋体"/>
          <w:b w:val="0"/>
          <w:bCs/>
          <w:color w:val="000000"/>
          <w:kern w:val="2"/>
          <w:sz w:val="24"/>
          <w:szCs w:val="24"/>
        </w:rPr>
        <w:t>)</w:t>
      </w:r>
    </w:p>
    <w:p w14:paraId="70A7FDB3">
      <w:pPr>
        <w:pStyle w:val="36"/>
        <w:spacing w:beforeAutospacing="0" w:afterAutospacing="0" w:line="500" w:lineRule="exact"/>
        <w:ind w:firstLine="480" w:firstLineChars="200"/>
        <w:rPr>
          <w:rStyle w:val="26"/>
          <w:rFonts w:cs="宋体"/>
          <w:b w:val="0"/>
          <w:color w:val="000000" w:themeColor="text1"/>
          <w:kern w:val="2"/>
          <w:sz w:val="24"/>
          <w:szCs w:val="24"/>
          <w14:textFill>
            <w14:solidFill>
              <w14:schemeClr w14:val="tx1"/>
            </w14:solidFill>
          </w14:textFill>
        </w:rPr>
      </w:pPr>
      <w:r>
        <w:rPr>
          <w:rFonts w:hint="eastAsia" w:cs="宋体"/>
          <w:b w:val="0"/>
          <w:bCs/>
          <w:color w:val="000000"/>
          <w:kern w:val="2"/>
          <w:sz w:val="24"/>
          <w:szCs w:val="24"/>
        </w:rPr>
        <w:t>(2)福建省国资采购平台(https://ygcg.fjcqjy.com/)</w:t>
      </w:r>
    </w:p>
    <w:p w14:paraId="633D2216">
      <w:pPr>
        <w:pStyle w:val="36"/>
        <w:spacing w:beforeAutospacing="0" w:afterAutospacing="0" w:line="500" w:lineRule="exact"/>
        <w:ind w:firstLine="480" w:firstLineChars="200"/>
        <w:rPr>
          <w:rStyle w:val="26"/>
          <w:rFonts w:cs="宋体"/>
          <w:b w:val="0"/>
          <w:color w:val="000000" w:themeColor="text1"/>
          <w:sz w:val="24"/>
          <w:szCs w:val="24"/>
          <w14:textFill>
            <w14:solidFill>
              <w14:schemeClr w14:val="tx1"/>
            </w14:solidFill>
          </w14:textFill>
        </w:rPr>
      </w:pPr>
      <w:r>
        <w:rPr>
          <w:rStyle w:val="26"/>
          <w:rFonts w:hint="eastAsia" w:cs="宋体"/>
          <w:b w:val="0"/>
          <w:color w:val="000000" w:themeColor="text1"/>
          <w:kern w:val="2"/>
          <w:sz w:val="24"/>
          <w:szCs w:val="24"/>
          <w14:textFill>
            <w14:solidFill>
              <w14:schemeClr w14:val="tx1"/>
            </w14:solidFill>
          </w14:textFill>
        </w:rPr>
        <w:t>(3)</w:t>
      </w:r>
      <w:r>
        <w:rPr>
          <w:rFonts w:hint="eastAsia" w:cs="宋体"/>
          <w:b w:val="0"/>
          <w:bCs/>
          <w:color w:val="000000" w:themeColor="text1"/>
          <w:kern w:val="2"/>
          <w:sz w:val="24"/>
          <w:szCs w:val="24"/>
          <w14:textFill>
            <w14:solidFill>
              <w14:schemeClr w14:val="tx1"/>
            </w14:solidFill>
          </w14:textFill>
        </w:rPr>
        <w:t>福建国诚招标有限公司</w:t>
      </w:r>
      <w:r>
        <w:rPr>
          <w:rStyle w:val="26"/>
          <w:rFonts w:hint="eastAsia" w:cs="宋体"/>
          <w:b w:val="0"/>
          <w:color w:val="000000" w:themeColor="text1"/>
          <w:kern w:val="2"/>
          <w:sz w:val="24"/>
          <w:szCs w:val="24"/>
          <w14:textFill>
            <w14:solidFill>
              <w14:schemeClr w14:val="tx1"/>
            </w14:solidFill>
          </w14:textFill>
        </w:rPr>
        <w:t>(http://www.fjgczb.com)。</w:t>
      </w:r>
    </w:p>
    <w:p w14:paraId="1F72B501">
      <w:pPr>
        <w:spacing w:line="500" w:lineRule="exact"/>
        <w:ind w:firstLine="480" w:firstLineChars="200"/>
        <w:rPr>
          <w:rStyle w:val="26"/>
          <w:rFonts w:ascii="宋体" w:hAnsi="宋体" w:cs="宋体"/>
          <w:color w:val="000000" w:themeColor="text1"/>
          <w:sz w:val="24"/>
          <w14:textFill>
            <w14:solidFill>
              <w14:schemeClr w14:val="tx1"/>
            </w14:solidFill>
          </w14:textFill>
        </w:rPr>
      </w:pPr>
      <w:r>
        <w:rPr>
          <w:rStyle w:val="26"/>
          <w:rFonts w:hint="eastAsia" w:ascii="宋体" w:hAnsi="宋体" w:cs="宋体"/>
          <w:color w:val="000000" w:themeColor="text1"/>
          <w:sz w:val="24"/>
          <w14:textFill>
            <w14:solidFill>
              <w14:schemeClr w14:val="tx1"/>
            </w14:solidFill>
          </w14:textFill>
        </w:rPr>
        <w:t>9.竞价供应商资格要求</w:t>
      </w:r>
    </w:p>
    <w:p w14:paraId="0EE9EAB6">
      <w:pPr>
        <w:spacing w:line="500" w:lineRule="exact"/>
        <w:ind w:firstLine="480" w:firstLineChars="200"/>
        <w:jc w:val="left"/>
        <w:rPr>
          <w:rStyle w:val="26"/>
          <w:rFonts w:ascii="宋体" w:hAnsi="宋体" w:cs="宋体"/>
          <w:sz w:val="24"/>
        </w:rPr>
      </w:pPr>
      <w:r>
        <w:rPr>
          <w:rStyle w:val="26"/>
          <w:rFonts w:hint="eastAsia" w:ascii="宋体" w:hAnsi="宋体" w:cs="宋体"/>
          <w:sz w:val="24"/>
        </w:rPr>
        <w:t>(1)有能力提供本竞价文件所述服务，符合下述规定条件的境内供应商。须提供有效营业执照副本复印件等证明文件：竞价供应商是企业或个体工商户的，则提供工商部门注册的有效的营业执照复印件；竞价供应商是事业单位的，则提供有效的“事业单位法人证书”复印件；竞价供应商是非企业专业服务机构的，则提供执业许可等证明材料。</w:t>
      </w:r>
    </w:p>
    <w:p w14:paraId="21072E78">
      <w:pPr>
        <w:spacing w:line="500" w:lineRule="exact"/>
        <w:ind w:firstLine="480" w:firstLineChars="200"/>
        <w:jc w:val="left"/>
        <w:rPr>
          <w:rStyle w:val="26"/>
          <w:rFonts w:ascii="宋体" w:hAnsi="宋体" w:cs="宋体"/>
          <w:sz w:val="24"/>
        </w:rPr>
      </w:pPr>
      <w:r>
        <w:rPr>
          <w:rStyle w:val="26"/>
          <w:rFonts w:hint="eastAsia" w:ascii="宋体" w:hAnsi="宋体" w:cs="宋体"/>
          <w:sz w:val="24"/>
        </w:rPr>
        <w:t>(2)竞价供应商须提供竞价承诺书；</w:t>
      </w:r>
    </w:p>
    <w:p w14:paraId="37C449CA">
      <w:pPr>
        <w:spacing w:line="500" w:lineRule="exact"/>
        <w:ind w:firstLine="480" w:firstLineChars="200"/>
        <w:jc w:val="left"/>
        <w:rPr>
          <w:rStyle w:val="26"/>
          <w:rFonts w:ascii="宋体" w:hAnsi="宋体" w:cs="宋体"/>
          <w:sz w:val="24"/>
        </w:rPr>
      </w:pPr>
      <w:r>
        <w:rPr>
          <w:rStyle w:val="26"/>
          <w:rFonts w:hint="eastAsia" w:ascii="宋体" w:hAnsi="宋体" w:cs="宋体"/>
          <w:sz w:val="24"/>
        </w:rPr>
        <w:t>(3)竞价保证金凭证复印件；</w:t>
      </w:r>
    </w:p>
    <w:p w14:paraId="16276DD1">
      <w:pPr>
        <w:wordWrap w:val="0"/>
        <w:spacing w:line="500" w:lineRule="exact"/>
        <w:ind w:firstLine="480" w:firstLineChars="200"/>
        <w:jc w:val="left"/>
        <w:rPr>
          <w:rFonts w:ascii="宋体" w:hAnsi="宋体"/>
          <w:sz w:val="24"/>
        </w:rPr>
      </w:pPr>
      <w:r>
        <w:rPr>
          <w:rStyle w:val="26"/>
          <w:rFonts w:hint="eastAsia" w:ascii="宋体" w:hAnsi="宋体" w:cs="宋体"/>
          <w:sz w:val="24"/>
        </w:rPr>
        <w:t>(4)参加采购活动前3年内无重大违法不良信用记录；不良信用记录是指列入失信被执行人、重大税收违法案件当事人名单和政府采购严重违法失信行为记录名单等。竞价供应商须提供通过“信用中国”网站(www.creditchina.gov.cn)、中国政府采购网(www.ccgp.gov.cn)查询的信用记录；</w:t>
      </w:r>
    </w:p>
    <w:p w14:paraId="25B63F39">
      <w:pPr>
        <w:spacing w:line="500" w:lineRule="exact"/>
        <w:ind w:firstLine="480" w:firstLineChars="200"/>
        <w:jc w:val="left"/>
        <w:rPr>
          <w:rStyle w:val="26"/>
          <w:rFonts w:ascii="宋体" w:hAnsi="宋体" w:cs="宋体"/>
          <w:sz w:val="24"/>
        </w:rPr>
      </w:pPr>
      <w:r>
        <w:rPr>
          <w:rStyle w:val="26"/>
          <w:rFonts w:hint="eastAsia" w:ascii="宋体" w:hAnsi="宋体" w:cs="宋体"/>
          <w:sz w:val="24"/>
        </w:rPr>
        <w:t>(5)本项目(不接受)联合体竞价。</w:t>
      </w:r>
    </w:p>
    <w:p w14:paraId="4D3404CD">
      <w:pPr>
        <w:spacing w:line="500" w:lineRule="exact"/>
        <w:ind w:firstLine="480" w:firstLineChars="200"/>
        <w:jc w:val="left"/>
        <w:rPr>
          <w:rStyle w:val="26"/>
          <w:rFonts w:ascii="宋体" w:hAnsi="宋体" w:cs="宋体"/>
          <w:sz w:val="24"/>
        </w:rPr>
      </w:pPr>
      <w:r>
        <w:rPr>
          <w:rStyle w:val="26"/>
          <w:rFonts w:hint="eastAsia" w:ascii="宋体" w:hAnsi="宋体" w:cs="宋体"/>
          <w:b/>
          <w:bCs/>
          <w:sz w:val="24"/>
        </w:rPr>
        <w:t>注：以上材料均须加盖竞价供应商单位公章，并在网上竞价截止时间前一个工作日提交 “资格”要求的所有相关材料[竞价供应商</w:t>
      </w:r>
      <w:r>
        <w:rPr>
          <w:rFonts w:hint="eastAsia" w:ascii="宋体" w:hAnsi="宋体" w:cs="宋体"/>
          <w:b/>
          <w:bCs/>
          <w:sz w:val="24"/>
        </w:rPr>
        <w:t>可采用邮寄方式(拒绝采用同城达达送件方式)提交</w:t>
      </w:r>
      <w:r>
        <w:rPr>
          <w:rStyle w:val="26"/>
          <w:rFonts w:hint="eastAsia" w:ascii="宋体" w:hAnsi="宋体" w:cs="宋体"/>
          <w:b/>
          <w:bCs/>
          <w:sz w:val="24"/>
        </w:rPr>
        <w:t>]。未按以上要求提交报名材料的竞价供应商，将导致其提出的质疑或竞价资格被拒绝。</w:t>
      </w:r>
    </w:p>
    <w:p w14:paraId="55175CB5">
      <w:pPr>
        <w:spacing w:line="500" w:lineRule="exact"/>
        <w:ind w:firstLine="480" w:firstLineChars="200"/>
        <w:jc w:val="left"/>
        <w:rPr>
          <w:rStyle w:val="26"/>
          <w:rFonts w:ascii="宋体" w:hAnsi="宋体" w:cs="宋体"/>
          <w:color w:val="000000" w:themeColor="text1"/>
          <w:sz w:val="24"/>
          <w14:textFill>
            <w14:solidFill>
              <w14:schemeClr w14:val="tx1"/>
            </w14:solidFill>
          </w14:textFill>
        </w:rPr>
      </w:pPr>
      <w:r>
        <w:rPr>
          <w:rStyle w:val="26"/>
          <w:rFonts w:hint="eastAsia" w:ascii="宋体" w:hAnsi="宋体" w:cs="宋体"/>
          <w:color w:val="000000" w:themeColor="text1"/>
          <w:sz w:val="24"/>
          <w14:textFill>
            <w14:solidFill>
              <w14:schemeClr w14:val="tx1"/>
            </w14:solidFill>
          </w14:textFill>
        </w:rPr>
        <w:t>10.报名须知</w:t>
      </w:r>
    </w:p>
    <w:p w14:paraId="71E0F862">
      <w:pPr>
        <w:tabs>
          <w:tab w:val="left" w:pos="4144"/>
        </w:tabs>
        <w:spacing w:line="480" w:lineRule="exact"/>
        <w:ind w:firstLine="480" w:firstLineChars="200"/>
        <w:rPr>
          <w:rStyle w:val="26"/>
          <w:rFonts w:ascii="宋体" w:hAnsi="宋体" w:cs="宋体"/>
          <w:color w:val="000000" w:themeColor="text1"/>
          <w:kern w:val="0"/>
          <w:sz w:val="24"/>
          <w14:textFill>
            <w14:solidFill>
              <w14:schemeClr w14:val="tx1"/>
            </w14:solidFill>
          </w14:textFill>
        </w:rPr>
      </w:pPr>
      <w:r>
        <w:rPr>
          <w:rStyle w:val="26"/>
          <w:rFonts w:hint="eastAsia" w:ascii="宋体" w:hAnsi="宋体" w:cs="宋体"/>
          <w:color w:val="000000" w:themeColor="text1"/>
          <w:sz w:val="24"/>
          <w14:textFill>
            <w14:solidFill>
              <w14:schemeClr w14:val="tx1"/>
            </w14:solidFill>
          </w14:textFill>
        </w:rPr>
        <w:t>(1)</w:t>
      </w:r>
      <w:r>
        <w:rPr>
          <w:rFonts w:hint="eastAsia" w:ascii="宋体" w:hAnsi="宋体" w:cs="宋体"/>
          <w:bCs/>
          <w:sz w:val="24"/>
        </w:rPr>
        <w:t xml:space="preserve"> </w:t>
      </w:r>
      <w:r>
        <w:rPr>
          <w:rFonts w:hint="eastAsia" w:ascii="宋体" w:hAnsi="宋体" w:cs="宋体"/>
          <w:bCs/>
          <w:color w:val="000000" w:themeColor="text1"/>
          <w:kern w:val="0"/>
          <w:sz w:val="24"/>
          <w14:textFill>
            <w14:solidFill>
              <w14:schemeClr w14:val="tx1"/>
            </w14:solidFill>
          </w14:textFill>
        </w:rPr>
        <w:t>福建国诚招标有限公司</w:t>
      </w:r>
      <w:r>
        <w:rPr>
          <w:rStyle w:val="26"/>
          <w:rFonts w:hint="eastAsia" w:ascii="宋体" w:hAnsi="宋体" w:cs="宋体"/>
          <w:color w:val="000000" w:themeColor="text1"/>
          <w:kern w:val="0"/>
          <w:sz w:val="24"/>
          <w14:textFill>
            <w14:solidFill>
              <w14:schemeClr w14:val="tx1"/>
            </w14:solidFill>
          </w14:textFill>
        </w:rPr>
        <w:t>将采购单位提出的采购需求在</w:t>
      </w:r>
      <w:r>
        <w:rPr>
          <w:rFonts w:hint="eastAsia" w:ascii="宋体" w:hAnsi="宋体" w:cs="宋体"/>
          <w:bCs/>
          <w:color w:val="000000"/>
          <w:sz w:val="24"/>
        </w:rPr>
        <w:t>工采通电子招投标交易平</w:t>
      </w:r>
      <w:r>
        <w:rPr>
          <w:rStyle w:val="26"/>
          <w:rFonts w:hint="eastAsia" w:ascii="宋体" w:hAnsi="宋体" w:cs="宋体"/>
          <w:color w:val="000000" w:themeColor="text1"/>
          <w:kern w:val="0"/>
          <w:sz w:val="24"/>
          <w14:textFill>
            <w14:solidFill>
              <w14:schemeClr w14:val="tx1"/>
            </w14:solidFill>
          </w14:textFill>
        </w:rPr>
        <w:t>台网站(</w:t>
      </w:r>
      <w:r>
        <w:rPr>
          <w:rStyle w:val="26"/>
          <w:rFonts w:ascii="宋体" w:hAnsi="宋体" w:cs="宋体"/>
          <w:color w:val="000000" w:themeColor="text1"/>
          <w:kern w:val="0"/>
          <w:sz w:val="24"/>
          <w14:textFill>
            <w14:solidFill>
              <w14:schemeClr w14:val="tx1"/>
            </w14:solidFill>
          </w14:textFill>
        </w:rPr>
        <w:t>https://easy-prt.com/home</w:t>
      </w:r>
      <w:r>
        <w:rPr>
          <w:rStyle w:val="26"/>
          <w:rFonts w:hint="eastAsia" w:ascii="宋体" w:hAnsi="宋体" w:cs="宋体"/>
          <w:color w:val="000000" w:themeColor="text1"/>
          <w:kern w:val="0"/>
          <w:sz w:val="24"/>
          <w14:textFill>
            <w14:solidFill>
              <w14:schemeClr w14:val="tx1"/>
            </w14:solidFill>
          </w14:textFill>
        </w:rPr>
        <w:t>)、福建省国资采购平台网站(https://ygcg.fjcqjy.com)、</w:t>
      </w:r>
      <w:r>
        <w:rPr>
          <w:rFonts w:hint="eastAsia" w:ascii="宋体" w:hAnsi="宋体" w:cs="宋体"/>
          <w:bCs/>
          <w:color w:val="000000" w:themeColor="text1"/>
          <w:kern w:val="0"/>
          <w:sz w:val="24"/>
          <w14:textFill>
            <w14:solidFill>
              <w14:schemeClr w14:val="tx1"/>
            </w14:solidFill>
          </w14:textFill>
        </w:rPr>
        <w:t>福建国诚招标有限公司</w:t>
      </w:r>
      <w:r>
        <w:rPr>
          <w:rStyle w:val="26"/>
          <w:rFonts w:hint="eastAsia" w:ascii="宋体" w:hAnsi="宋体" w:cs="宋体"/>
          <w:color w:val="000000" w:themeColor="text1"/>
          <w:kern w:val="0"/>
          <w:sz w:val="24"/>
          <w14:textFill>
            <w14:solidFill>
              <w14:schemeClr w14:val="tx1"/>
            </w14:solidFill>
          </w14:textFill>
        </w:rPr>
        <w:t>网站(http://www.fjgczb.com)上公告三个工作日。</w:t>
      </w:r>
    </w:p>
    <w:p w14:paraId="28A49110">
      <w:pPr>
        <w:spacing w:line="500" w:lineRule="exact"/>
        <w:ind w:firstLine="480" w:firstLineChars="200"/>
        <w:jc w:val="left"/>
        <w:rPr>
          <w:rStyle w:val="26"/>
          <w:rFonts w:ascii="宋体" w:hAnsi="宋体" w:cs="宋体"/>
          <w:color w:val="000000" w:themeColor="text1"/>
          <w:kern w:val="0"/>
          <w:sz w:val="24"/>
          <w14:textFill>
            <w14:solidFill>
              <w14:schemeClr w14:val="tx1"/>
            </w14:solidFill>
          </w14:textFill>
        </w:rPr>
      </w:pPr>
      <w:r>
        <w:rPr>
          <w:rStyle w:val="26"/>
          <w:rFonts w:hint="eastAsia" w:ascii="宋体" w:hAnsi="宋体" w:cs="宋体"/>
          <w:color w:val="000000" w:themeColor="text1"/>
          <w:kern w:val="0"/>
          <w:sz w:val="24"/>
          <w14:textFill>
            <w14:solidFill>
              <w14:schemeClr w14:val="tx1"/>
            </w14:solidFill>
          </w14:textFill>
        </w:rPr>
        <w:t>(2)竞价规则说明：</w:t>
      </w:r>
    </w:p>
    <w:p w14:paraId="13AF0CB9">
      <w:pPr>
        <w:spacing w:line="500" w:lineRule="exact"/>
        <w:ind w:firstLine="480" w:firstLineChars="200"/>
        <w:jc w:val="left"/>
        <w:rPr>
          <w:rStyle w:val="26"/>
          <w:rFonts w:ascii="宋体" w:hAnsi="宋体" w:cs="宋体"/>
          <w:color w:val="000000" w:themeColor="text1"/>
          <w:kern w:val="0"/>
          <w:sz w:val="24"/>
          <w14:textFill>
            <w14:solidFill>
              <w14:schemeClr w14:val="tx1"/>
            </w14:solidFill>
          </w14:textFill>
        </w:rPr>
      </w:pPr>
      <w:r>
        <w:rPr>
          <w:rStyle w:val="26"/>
          <w:rFonts w:hint="eastAsia" w:ascii="宋体" w:hAnsi="宋体" w:cs="宋体"/>
          <w:color w:val="000000" w:themeColor="text1"/>
          <w:kern w:val="0"/>
          <w:sz w:val="24"/>
          <w14:textFill>
            <w14:solidFill>
              <w14:schemeClr w14:val="tx1"/>
            </w14:solidFill>
          </w14:textFill>
        </w:rPr>
        <w:t>①网上竞价的报价时限为竞价起始时间后两个小时内，在报价截止时间前，报名且通过审核的竞价供应商可通过</w:t>
      </w:r>
      <w:r>
        <w:rPr>
          <w:rFonts w:hint="eastAsia" w:ascii="宋体" w:hAnsi="宋体" w:cs="宋体"/>
          <w:bCs/>
          <w:color w:val="000000" w:themeColor="text1"/>
          <w:kern w:val="0"/>
          <w:sz w:val="24"/>
          <w14:textFill>
            <w14:solidFill>
              <w14:schemeClr w14:val="tx1"/>
            </w14:solidFill>
          </w14:textFill>
        </w:rPr>
        <w:t>福建国诚招标有限公司</w:t>
      </w:r>
      <w:r>
        <w:rPr>
          <w:rStyle w:val="26"/>
          <w:rFonts w:hint="eastAsia" w:ascii="宋体" w:hAnsi="宋体" w:cs="宋体"/>
          <w:color w:val="000000" w:themeColor="text1"/>
          <w:kern w:val="0"/>
          <w:sz w:val="24"/>
          <w14:textFill>
            <w14:solidFill>
              <w14:schemeClr w14:val="tx1"/>
            </w14:solidFill>
          </w14:textFill>
        </w:rPr>
        <w:t>竞价平台多次参与竞价(不限报价次数，在规定时间内提交报价均可)。</w:t>
      </w:r>
    </w:p>
    <w:p w14:paraId="1E5A3C40">
      <w:pPr>
        <w:spacing w:line="500" w:lineRule="exact"/>
        <w:ind w:firstLine="480" w:firstLineChars="200"/>
        <w:jc w:val="left"/>
        <w:rPr>
          <w:rStyle w:val="26"/>
          <w:rFonts w:ascii="宋体" w:hAnsi="宋体" w:cs="宋体"/>
          <w:color w:val="000000" w:themeColor="text1"/>
          <w:kern w:val="0"/>
          <w:sz w:val="24"/>
          <w14:textFill>
            <w14:solidFill>
              <w14:schemeClr w14:val="tx1"/>
            </w14:solidFill>
          </w14:textFill>
        </w:rPr>
      </w:pPr>
      <w:r>
        <w:rPr>
          <w:rStyle w:val="26"/>
          <w:rFonts w:hint="eastAsia" w:ascii="宋体" w:hAnsi="宋体" w:cs="宋体"/>
          <w:color w:val="000000" w:themeColor="text1"/>
          <w:kern w:val="0"/>
          <w:sz w:val="24"/>
          <w14:textFill>
            <w14:solidFill>
              <w14:schemeClr w14:val="tx1"/>
            </w14:solidFill>
          </w14:textFill>
        </w:rPr>
        <w:t>②竞价供应商首次提交的报价须在本项目最高限价基础上下浮＞3%，否则</w:t>
      </w:r>
      <w:r>
        <w:rPr>
          <w:rStyle w:val="26"/>
          <w:rFonts w:hint="eastAsia" w:ascii="宋体" w:hAnsi="宋体" w:cs="宋体"/>
          <w:bCs/>
          <w:color w:val="000000" w:themeColor="text1"/>
          <w:kern w:val="0"/>
          <w:sz w:val="24"/>
          <w14:textFill>
            <w14:solidFill>
              <w14:schemeClr w14:val="tx1"/>
            </w14:solidFill>
          </w14:textFill>
        </w:rPr>
        <w:t>视为报价无效</w:t>
      </w:r>
      <w:r>
        <w:rPr>
          <w:rStyle w:val="26"/>
          <w:rFonts w:hint="eastAsia" w:ascii="宋体" w:hAnsi="宋体" w:cs="宋体"/>
          <w:color w:val="000000" w:themeColor="text1"/>
          <w:kern w:val="0"/>
          <w:sz w:val="24"/>
          <w14:textFill>
            <w14:solidFill>
              <w14:schemeClr w14:val="tx1"/>
            </w14:solidFill>
          </w14:textFill>
        </w:rPr>
        <w:t>。在报价时限内，竞价供应商多次报价的，报价金额必须小于自己上一次的报价金额，在报价时限内竞价供应商提交的最后一次报价作为该竞价供应商的最后报价。供应商在竞价平台提交的报价明显低于其他合格供应商的报价，有可能影响产品(货物)质量或不能诚信履约的，应要求其在半个小时内提供书面说明，必要时还应要求其一并提交有关证明材料；供应商不能证明其报价合理性的，</w:t>
      </w:r>
      <w:r>
        <w:rPr>
          <w:rFonts w:hint="eastAsia" w:ascii="宋体" w:hAnsi="宋体" w:cs="宋体"/>
          <w:bCs/>
          <w:color w:val="000000" w:themeColor="text1"/>
          <w:kern w:val="0"/>
          <w:sz w:val="24"/>
          <w14:textFill>
            <w14:solidFill>
              <w14:schemeClr w14:val="tx1"/>
            </w14:solidFill>
          </w14:textFill>
        </w:rPr>
        <w:t>视为无效报价。</w:t>
      </w:r>
    </w:p>
    <w:p w14:paraId="100F614E">
      <w:pPr>
        <w:spacing w:line="500" w:lineRule="exact"/>
        <w:ind w:firstLine="480" w:firstLineChars="200"/>
        <w:jc w:val="left"/>
        <w:rPr>
          <w:rStyle w:val="26"/>
          <w:rFonts w:ascii="宋体" w:hAnsi="宋体" w:cs="宋体"/>
          <w:color w:val="000000" w:themeColor="text1"/>
          <w:kern w:val="0"/>
          <w:sz w:val="24"/>
          <w14:textFill>
            <w14:solidFill>
              <w14:schemeClr w14:val="tx1"/>
            </w14:solidFill>
          </w14:textFill>
        </w:rPr>
      </w:pPr>
      <w:r>
        <w:rPr>
          <w:rStyle w:val="26"/>
          <w:rFonts w:hint="eastAsia" w:ascii="宋体" w:hAnsi="宋体" w:cs="宋体"/>
          <w:color w:val="000000" w:themeColor="text1"/>
          <w:kern w:val="0"/>
          <w:sz w:val="24"/>
          <w14:textFill>
            <w14:solidFill>
              <w14:schemeClr w14:val="tx1"/>
            </w14:solidFill>
          </w14:textFill>
        </w:rPr>
        <w:t>③在符合采购需求且报价有效的前提下，最后报价最低者成交，若最后报价相同的，则按竞价供应商提交的最后报价先后顺序确定成交竞价供应商，即提出该最后报价时间较早的作为成交竞价供应商。若出现上述结果均相同的，则采取随机抽取方式确定。</w:t>
      </w:r>
    </w:p>
    <w:p w14:paraId="2A7260E4">
      <w:pPr>
        <w:spacing w:line="500" w:lineRule="exact"/>
        <w:ind w:firstLine="480" w:firstLineChars="200"/>
        <w:jc w:val="left"/>
        <w:rPr>
          <w:rStyle w:val="26"/>
          <w:rFonts w:ascii="宋体" w:hAnsi="宋体" w:cs="宋体"/>
          <w:color w:val="000000" w:themeColor="text1"/>
          <w:kern w:val="0"/>
          <w:sz w:val="24"/>
          <w14:textFill>
            <w14:solidFill>
              <w14:schemeClr w14:val="tx1"/>
            </w14:solidFill>
          </w14:textFill>
        </w:rPr>
      </w:pPr>
      <w:r>
        <w:rPr>
          <w:rStyle w:val="26"/>
          <w:rFonts w:hint="eastAsia" w:ascii="宋体" w:hAnsi="宋体" w:cs="宋体"/>
          <w:color w:val="000000" w:themeColor="text1"/>
          <w:kern w:val="0"/>
          <w:sz w:val="24"/>
          <w14:textFill>
            <w14:solidFill>
              <w14:schemeClr w14:val="tx1"/>
            </w14:solidFill>
          </w14:textFill>
        </w:rPr>
        <w:t>④竞价供应商对每个项目合同包报价时都必须扫描上传有效的报价文件并加盖公章，未按要求扫描上传报价文件的</w:t>
      </w:r>
      <w:r>
        <w:rPr>
          <w:rStyle w:val="26"/>
          <w:rFonts w:hint="eastAsia" w:ascii="宋体" w:hAnsi="宋体" w:cs="宋体"/>
          <w:bCs/>
          <w:color w:val="000000" w:themeColor="text1"/>
          <w:kern w:val="0"/>
          <w:sz w:val="24"/>
          <w14:textFill>
            <w14:solidFill>
              <w14:schemeClr w14:val="tx1"/>
            </w14:solidFill>
          </w14:textFill>
        </w:rPr>
        <w:t>竞价无效</w:t>
      </w:r>
      <w:r>
        <w:rPr>
          <w:rStyle w:val="26"/>
          <w:rFonts w:hint="eastAsia" w:ascii="宋体" w:hAnsi="宋体" w:cs="宋体"/>
          <w:color w:val="000000" w:themeColor="text1"/>
          <w:kern w:val="0"/>
          <w:sz w:val="24"/>
          <w14:textFill>
            <w14:solidFill>
              <w14:schemeClr w14:val="tx1"/>
            </w14:solidFill>
          </w14:textFill>
        </w:rPr>
        <w:t>。电子报价文档具有法律效力。竞价供应商在竞价平台提交的最后一次报价与供应商最后一次上传的报价文件中的报价一览表总价不一致的，按照无效报价处理；</w:t>
      </w:r>
    </w:p>
    <w:p w14:paraId="52DA3C3A">
      <w:pPr>
        <w:spacing w:line="500" w:lineRule="exact"/>
        <w:ind w:firstLine="480" w:firstLineChars="200"/>
        <w:jc w:val="left"/>
        <w:rPr>
          <w:rStyle w:val="26"/>
          <w:rFonts w:ascii="宋体" w:hAnsi="宋体" w:cs="宋体"/>
          <w:color w:val="000000" w:themeColor="text1"/>
          <w:kern w:val="0"/>
          <w:sz w:val="24"/>
          <w14:textFill>
            <w14:solidFill>
              <w14:schemeClr w14:val="tx1"/>
            </w14:solidFill>
          </w14:textFill>
        </w:rPr>
      </w:pPr>
      <w:r>
        <w:rPr>
          <w:rStyle w:val="26"/>
          <w:rFonts w:hint="eastAsia" w:ascii="宋体" w:hAnsi="宋体" w:cs="宋体"/>
          <w:b/>
          <w:bCs/>
          <w:color w:val="000000" w:themeColor="text1"/>
          <w:kern w:val="0"/>
          <w:sz w:val="24"/>
          <w14:textFill>
            <w14:solidFill>
              <w14:schemeClr w14:val="tx1"/>
            </w14:solidFill>
          </w14:textFill>
        </w:rPr>
        <w:t>竞价供应商参与竞价即视为理解上述竞价规则，不得在竞价活动结束后对竞价规则提出异议。</w:t>
      </w:r>
    </w:p>
    <w:p w14:paraId="6F614904">
      <w:pPr>
        <w:spacing w:line="500" w:lineRule="exact"/>
        <w:ind w:firstLine="480" w:firstLineChars="200"/>
        <w:jc w:val="left"/>
        <w:rPr>
          <w:rStyle w:val="26"/>
          <w:rFonts w:ascii="宋体" w:hAnsi="宋体" w:cs="宋体"/>
          <w:color w:val="000000" w:themeColor="text1"/>
          <w:kern w:val="0"/>
          <w:sz w:val="24"/>
          <w14:textFill>
            <w14:solidFill>
              <w14:schemeClr w14:val="tx1"/>
            </w14:solidFill>
          </w14:textFill>
        </w:rPr>
      </w:pPr>
      <w:r>
        <w:rPr>
          <w:rStyle w:val="26"/>
          <w:rFonts w:hint="eastAsia" w:ascii="宋体" w:hAnsi="宋体" w:cs="宋体"/>
          <w:color w:val="000000" w:themeColor="text1"/>
          <w:kern w:val="0"/>
          <w:sz w:val="24"/>
          <w14:textFill>
            <w14:solidFill>
              <w14:schemeClr w14:val="tx1"/>
            </w14:solidFill>
          </w14:textFill>
        </w:rPr>
        <w:t>(3)竞价供应商自行承担所有参与报价的全部相关费用。</w:t>
      </w:r>
    </w:p>
    <w:p w14:paraId="09E308ED">
      <w:pPr>
        <w:spacing w:line="500" w:lineRule="exact"/>
        <w:ind w:firstLine="480" w:firstLineChars="200"/>
        <w:jc w:val="left"/>
        <w:rPr>
          <w:rStyle w:val="26"/>
          <w:rFonts w:ascii="宋体" w:hAnsi="宋体" w:cs="宋体"/>
          <w:color w:val="000000" w:themeColor="text1"/>
          <w:kern w:val="0"/>
          <w:sz w:val="24"/>
          <w14:textFill>
            <w14:solidFill>
              <w14:schemeClr w14:val="tx1"/>
            </w14:solidFill>
          </w14:textFill>
        </w:rPr>
      </w:pPr>
      <w:r>
        <w:rPr>
          <w:rStyle w:val="26"/>
          <w:rFonts w:hint="eastAsia" w:ascii="宋体" w:hAnsi="宋体" w:cs="宋体"/>
          <w:color w:val="000000" w:themeColor="text1"/>
          <w:kern w:val="0"/>
          <w:sz w:val="24"/>
          <w14:textFill>
            <w14:solidFill>
              <w14:schemeClr w14:val="tx1"/>
            </w14:solidFill>
          </w14:textFill>
        </w:rPr>
        <w:t>(4)竞价供应商应详细阅读关于本次网上竞价文件的全部内容，且自行承担在整个竞价过程及操作过程中所出现的所有问题，包括但不限于计算机及其操作系统的使用、IE浏览器升级、输入法安装调试、控件插件的安装、杀毒软件、木马病毒的排查、网络带宽的延迟及掉线、断网等。</w:t>
      </w:r>
    </w:p>
    <w:p w14:paraId="44510033">
      <w:pPr>
        <w:spacing w:line="500" w:lineRule="exact"/>
        <w:ind w:firstLine="480" w:firstLineChars="200"/>
        <w:jc w:val="left"/>
        <w:rPr>
          <w:rStyle w:val="26"/>
          <w:rFonts w:ascii="宋体" w:hAnsi="宋体" w:cs="宋体"/>
          <w:color w:val="000000" w:themeColor="text1"/>
          <w:kern w:val="0"/>
          <w:sz w:val="24"/>
          <w14:textFill>
            <w14:solidFill>
              <w14:schemeClr w14:val="tx1"/>
            </w14:solidFill>
          </w14:textFill>
        </w:rPr>
      </w:pPr>
      <w:r>
        <w:rPr>
          <w:rStyle w:val="26"/>
          <w:rFonts w:hint="eastAsia" w:ascii="宋体" w:hAnsi="宋体" w:cs="宋体"/>
          <w:color w:val="000000" w:themeColor="text1"/>
          <w:kern w:val="0"/>
          <w:sz w:val="24"/>
          <w14:textFill>
            <w14:solidFill>
              <w14:schemeClr w14:val="tx1"/>
            </w14:solidFill>
          </w14:textFill>
        </w:rPr>
        <w:t>(5)代理服务费按成交金额*1.5%，由成交竞价供应商支付。</w:t>
      </w:r>
    </w:p>
    <w:p w14:paraId="19B27048">
      <w:pPr>
        <w:spacing w:line="500" w:lineRule="exact"/>
        <w:ind w:firstLine="480" w:firstLineChars="200"/>
        <w:jc w:val="left"/>
        <w:rPr>
          <w:rStyle w:val="26"/>
          <w:rFonts w:ascii="宋体" w:hAnsi="宋体" w:cs="宋体"/>
          <w:color w:val="000000" w:themeColor="text1"/>
          <w:kern w:val="0"/>
          <w:sz w:val="24"/>
          <w14:textFill>
            <w14:solidFill>
              <w14:schemeClr w14:val="tx1"/>
            </w14:solidFill>
          </w14:textFill>
        </w:rPr>
      </w:pPr>
      <w:r>
        <w:rPr>
          <w:rStyle w:val="26"/>
          <w:rFonts w:hint="eastAsia" w:ascii="宋体" w:hAnsi="宋体" w:cs="宋体"/>
          <w:color w:val="000000" w:themeColor="text1"/>
          <w:kern w:val="0"/>
          <w:sz w:val="24"/>
          <w14:textFill>
            <w14:solidFill>
              <w14:schemeClr w14:val="tx1"/>
            </w14:solidFill>
          </w14:textFill>
        </w:rPr>
        <w:t>(6)有下列情形之一的，视为竞价供应商相互串通竞价:</w:t>
      </w:r>
    </w:p>
    <w:p w14:paraId="064ECF1C">
      <w:pPr>
        <w:spacing w:line="500" w:lineRule="exact"/>
        <w:ind w:firstLine="480" w:firstLineChars="200"/>
        <w:jc w:val="left"/>
        <w:rPr>
          <w:rStyle w:val="26"/>
          <w:rFonts w:ascii="宋体" w:hAnsi="宋体" w:cs="宋体"/>
          <w:color w:val="000000" w:themeColor="text1"/>
          <w:kern w:val="0"/>
          <w:sz w:val="24"/>
          <w14:textFill>
            <w14:solidFill>
              <w14:schemeClr w14:val="tx1"/>
            </w14:solidFill>
          </w14:textFill>
        </w:rPr>
      </w:pPr>
      <w:r>
        <w:rPr>
          <w:rStyle w:val="26"/>
          <w:rFonts w:hint="eastAsia" w:ascii="宋体" w:hAnsi="宋体" w:cs="宋体"/>
          <w:color w:val="000000" w:themeColor="text1"/>
          <w:kern w:val="0"/>
          <w:sz w:val="24"/>
          <w14:textFill>
            <w14:solidFill>
              <w14:schemeClr w14:val="tx1"/>
            </w14:solidFill>
          </w14:textFill>
        </w:rPr>
        <w:t>①不同竞价供应商的证明材料由同一单位或者个人编制；</w:t>
      </w:r>
    </w:p>
    <w:p w14:paraId="076EF5DD">
      <w:pPr>
        <w:spacing w:line="500" w:lineRule="exact"/>
        <w:ind w:firstLine="480" w:firstLineChars="200"/>
        <w:jc w:val="left"/>
        <w:rPr>
          <w:rStyle w:val="26"/>
          <w:rFonts w:ascii="宋体" w:hAnsi="宋体" w:cs="宋体"/>
          <w:color w:val="000000" w:themeColor="text1"/>
          <w:kern w:val="0"/>
          <w:sz w:val="24"/>
          <w14:textFill>
            <w14:solidFill>
              <w14:schemeClr w14:val="tx1"/>
            </w14:solidFill>
          </w14:textFill>
        </w:rPr>
      </w:pPr>
      <w:r>
        <w:rPr>
          <w:rStyle w:val="26"/>
          <w:rFonts w:hint="eastAsia" w:ascii="宋体" w:hAnsi="宋体" w:cs="宋体"/>
          <w:color w:val="000000" w:themeColor="text1"/>
          <w:kern w:val="0"/>
          <w:sz w:val="24"/>
          <w14:textFill>
            <w14:solidFill>
              <w14:schemeClr w14:val="tx1"/>
            </w14:solidFill>
          </w14:textFill>
        </w:rPr>
        <w:t>②不同竞价供应商委托同一单位或者个人办理竞价事宜；</w:t>
      </w:r>
    </w:p>
    <w:p w14:paraId="553B3315">
      <w:pPr>
        <w:spacing w:line="500" w:lineRule="exact"/>
        <w:ind w:firstLine="480" w:firstLineChars="200"/>
        <w:jc w:val="left"/>
        <w:rPr>
          <w:rStyle w:val="26"/>
          <w:rFonts w:ascii="宋体" w:hAnsi="宋体" w:cs="宋体"/>
          <w:color w:val="000000" w:themeColor="text1"/>
          <w:kern w:val="0"/>
          <w:sz w:val="24"/>
          <w14:textFill>
            <w14:solidFill>
              <w14:schemeClr w14:val="tx1"/>
            </w14:solidFill>
          </w14:textFill>
        </w:rPr>
      </w:pPr>
      <w:r>
        <w:rPr>
          <w:rStyle w:val="26"/>
          <w:rFonts w:hint="eastAsia" w:ascii="宋体" w:hAnsi="宋体" w:cs="宋体"/>
          <w:color w:val="000000" w:themeColor="text1"/>
          <w:kern w:val="0"/>
          <w:sz w:val="24"/>
          <w14:textFill>
            <w14:solidFill>
              <w14:schemeClr w14:val="tx1"/>
            </w14:solidFill>
          </w14:textFill>
        </w:rPr>
        <w:t>③不同竞价供应商的证明材料载明的项目管理成员为同一人；</w:t>
      </w:r>
    </w:p>
    <w:p w14:paraId="172D102F">
      <w:pPr>
        <w:spacing w:line="500" w:lineRule="exact"/>
        <w:ind w:firstLine="480" w:firstLineChars="200"/>
        <w:jc w:val="left"/>
        <w:rPr>
          <w:rStyle w:val="26"/>
          <w:rFonts w:ascii="宋体" w:hAnsi="宋体" w:cs="宋体"/>
          <w:color w:val="000000" w:themeColor="text1"/>
          <w:kern w:val="0"/>
          <w:sz w:val="24"/>
          <w14:textFill>
            <w14:solidFill>
              <w14:schemeClr w14:val="tx1"/>
            </w14:solidFill>
          </w14:textFill>
        </w:rPr>
      </w:pPr>
      <w:r>
        <w:rPr>
          <w:rStyle w:val="26"/>
          <w:rFonts w:hint="eastAsia" w:ascii="宋体" w:hAnsi="宋体" w:cs="宋体"/>
          <w:color w:val="000000" w:themeColor="text1"/>
          <w:kern w:val="0"/>
          <w:sz w:val="24"/>
          <w14:textFill>
            <w14:solidFill>
              <w14:schemeClr w14:val="tx1"/>
            </w14:solidFill>
          </w14:textFill>
        </w:rPr>
        <w:t>(7)参与本项投标的供应商若属于以下规定的关联企业情形的，不得同时参与本项目投标，否则互为关联企业的供应商投标均无效。情形如下：</w:t>
      </w:r>
    </w:p>
    <w:p w14:paraId="5E93B57E">
      <w:pPr>
        <w:spacing w:line="500" w:lineRule="exact"/>
        <w:ind w:firstLine="480" w:firstLineChars="200"/>
        <w:jc w:val="left"/>
        <w:rPr>
          <w:rStyle w:val="26"/>
          <w:rFonts w:ascii="宋体" w:hAnsi="宋体" w:cs="宋体"/>
          <w:color w:val="000000" w:themeColor="text1"/>
          <w:kern w:val="0"/>
          <w:sz w:val="24"/>
          <w14:textFill>
            <w14:solidFill>
              <w14:schemeClr w14:val="tx1"/>
            </w14:solidFill>
          </w14:textFill>
        </w:rPr>
      </w:pPr>
      <w:r>
        <w:rPr>
          <w:rStyle w:val="26"/>
          <w:rFonts w:hint="eastAsia" w:ascii="宋体" w:hAnsi="宋体" w:cs="宋体"/>
          <w:color w:val="000000" w:themeColor="text1"/>
          <w:kern w:val="0"/>
          <w:sz w:val="24"/>
          <w14:textFill>
            <w14:solidFill>
              <w14:schemeClr w14:val="tx1"/>
            </w14:solidFill>
          </w14:textFill>
        </w:rPr>
        <w:t>①一方直接或者间接持有另一方的股份总和达到25%以上；双方直接或者间接同为第三方所持有的股份达到25%以上。</w:t>
      </w:r>
    </w:p>
    <w:p w14:paraId="1F49B73A">
      <w:pPr>
        <w:spacing w:line="500" w:lineRule="exact"/>
        <w:ind w:firstLine="480" w:firstLineChars="200"/>
        <w:jc w:val="left"/>
        <w:rPr>
          <w:rStyle w:val="26"/>
          <w:rFonts w:ascii="宋体" w:hAnsi="宋体" w:cs="宋体"/>
          <w:bCs/>
          <w:color w:val="000000" w:themeColor="text1"/>
          <w:kern w:val="0"/>
          <w:sz w:val="24"/>
          <w14:textFill>
            <w14:solidFill>
              <w14:schemeClr w14:val="tx1"/>
            </w14:solidFill>
          </w14:textFill>
        </w:rPr>
      </w:pPr>
      <w:r>
        <w:rPr>
          <w:rStyle w:val="26"/>
          <w:rFonts w:hint="eastAsia" w:ascii="宋体" w:hAnsi="宋体" w:cs="宋体"/>
          <w:color w:val="000000" w:themeColor="text1"/>
          <w:kern w:val="0"/>
          <w:sz w:val="24"/>
          <w14:textFill>
            <w14:solidFill>
              <w14:schemeClr w14:val="tx1"/>
            </w14:solidFill>
          </w14:textFill>
        </w:rPr>
        <w:t>②一方董事、监事或者高级管理人员(包括上市公司董事会秘书、经理、副经理、财务负责人和公司章程规定的其他人员)同时</w:t>
      </w:r>
      <w:r>
        <w:rPr>
          <w:rStyle w:val="26"/>
          <w:rFonts w:hint="eastAsia" w:ascii="宋体" w:hAnsi="宋体" w:cs="宋体"/>
          <w:color w:val="000000" w:themeColor="text1"/>
          <w:sz w:val="24"/>
          <w14:textFill>
            <w14:solidFill>
              <w14:schemeClr w14:val="tx1"/>
            </w14:solidFill>
          </w14:textFill>
        </w:rPr>
        <w:t>担任另一方的董事、监事或者高级管理人员。</w:t>
      </w:r>
    </w:p>
    <w:p w14:paraId="08F46240">
      <w:pPr>
        <w:spacing w:line="500" w:lineRule="exact"/>
        <w:ind w:firstLine="480" w:firstLineChars="200"/>
        <w:rPr>
          <w:rStyle w:val="26"/>
          <w:rFonts w:ascii="宋体" w:hAnsi="宋体" w:cs="宋体"/>
          <w:bCs/>
          <w:color w:val="000000" w:themeColor="text1"/>
          <w:sz w:val="24"/>
          <w14:textFill>
            <w14:solidFill>
              <w14:schemeClr w14:val="tx1"/>
            </w14:solidFill>
          </w14:textFill>
        </w:rPr>
      </w:pPr>
      <w:r>
        <w:rPr>
          <w:rStyle w:val="26"/>
          <w:rFonts w:hint="eastAsia" w:ascii="宋体" w:hAnsi="宋体" w:cs="宋体"/>
          <w:bCs/>
          <w:color w:val="000000" w:themeColor="text1"/>
          <w:sz w:val="24"/>
          <w14:textFill>
            <w14:solidFill>
              <w14:schemeClr w14:val="tx1"/>
            </w14:solidFill>
          </w14:textFill>
        </w:rPr>
        <w:t>11.报名方式</w:t>
      </w:r>
    </w:p>
    <w:p w14:paraId="75E7619F">
      <w:pPr>
        <w:pStyle w:val="50"/>
        <w:spacing w:before="0" w:beforeAutospacing="0" w:after="0" w:afterAutospacing="0" w:line="500" w:lineRule="exact"/>
        <w:ind w:firstLine="480" w:firstLineChars="200"/>
        <w:rPr>
          <w:rStyle w:val="26"/>
          <w:rFonts w:cs="宋体"/>
          <w:color w:val="000000" w:themeColor="text1"/>
          <w14:textFill>
            <w14:solidFill>
              <w14:schemeClr w14:val="tx1"/>
            </w14:solidFill>
          </w14:textFill>
        </w:rPr>
      </w:pPr>
      <w:r>
        <w:rPr>
          <w:rStyle w:val="26"/>
          <w:rFonts w:hint="eastAsia" w:cs="宋体"/>
          <w:color w:val="000000" w:themeColor="text1"/>
          <w14:textFill>
            <w14:solidFill>
              <w14:schemeClr w14:val="tx1"/>
            </w14:solidFill>
          </w14:textFill>
        </w:rPr>
        <w:t>(1)</w:t>
      </w:r>
      <w:r>
        <w:rPr>
          <w:rFonts w:hint="eastAsia" w:cs="宋体"/>
          <w:color w:val="000000" w:themeColor="text1"/>
          <w14:textFill>
            <w14:solidFill>
              <w14:schemeClr w14:val="tx1"/>
            </w14:solidFill>
          </w14:textFill>
        </w:rPr>
        <w:t>报名的潜在竞价供应商，须</w:t>
      </w:r>
      <w:r>
        <w:rPr>
          <w:rFonts w:hint="eastAsia" w:cs="宋体"/>
          <w:color w:val="FF0000"/>
        </w:rPr>
        <w:t>于[2026年</w:t>
      </w:r>
      <w:r>
        <w:rPr>
          <w:rFonts w:hint="eastAsia" w:cs="宋体"/>
          <w:color w:val="FF0000"/>
          <w:lang w:val="en-US" w:eastAsia="zh-CN"/>
        </w:rPr>
        <w:t>8</w:t>
      </w:r>
      <w:r>
        <w:rPr>
          <w:rFonts w:hint="eastAsia" w:cs="宋体"/>
          <w:color w:val="FF0000"/>
        </w:rPr>
        <w:t>月</w:t>
      </w:r>
      <w:r>
        <w:rPr>
          <w:rFonts w:hint="eastAsia" w:cs="宋体"/>
          <w:color w:val="FF0000"/>
          <w:lang w:val="en-US" w:eastAsia="zh-CN"/>
        </w:rPr>
        <w:t>11</w:t>
      </w:r>
      <w:r>
        <w:rPr>
          <w:rFonts w:hint="eastAsia" w:cs="宋体"/>
          <w:color w:val="FF0000"/>
        </w:rPr>
        <w:t>日至2026年</w:t>
      </w:r>
      <w:r>
        <w:rPr>
          <w:rFonts w:hint="eastAsia" w:cs="宋体"/>
          <w:color w:val="FF0000"/>
          <w:lang w:val="en-US" w:eastAsia="zh-CN"/>
        </w:rPr>
        <w:t>8</w:t>
      </w:r>
      <w:r>
        <w:rPr>
          <w:rFonts w:hint="eastAsia" w:cs="宋体"/>
          <w:color w:val="FF0000"/>
        </w:rPr>
        <w:t>月</w:t>
      </w:r>
      <w:r>
        <w:rPr>
          <w:rFonts w:hint="eastAsia" w:cs="宋体"/>
          <w:color w:val="FF0000"/>
          <w:lang w:val="en-US" w:eastAsia="zh-CN"/>
        </w:rPr>
        <w:t>14</w:t>
      </w:r>
      <w:bookmarkStart w:id="31" w:name="_GoBack"/>
      <w:bookmarkEnd w:id="31"/>
      <w:r>
        <w:rPr>
          <w:rFonts w:hint="eastAsia" w:cs="宋体"/>
          <w:color w:val="FF0000"/>
        </w:rPr>
        <w:t>日]</w:t>
      </w:r>
      <w:r>
        <w:rPr>
          <w:rStyle w:val="26"/>
          <w:rFonts w:hint="eastAsia" w:cs="宋体"/>
          <w:color w:val="000000" w:themeColor="text1"/>
          <w14:textFill>
            <w14:solidFill>
              <w14:schemeClr w14:val="tx1"/>
            </w14:solidFill>
          </w14:textFill>
        </w:rPr>
        <w:t>，[每天9:00到11:30，14:30到17:00，法定节假日除外] (北京时间)按网上竞价文件“第三章 证明材料格式”要求并在网上竞价报名截止时间前递交相关证明材料</w:t>
      </w:r>
      <w:r>
        <w:rPr>
          <w:rStyle w:val="26"/>
          <w:rFonts w:hint="eastAsia" w:cs="宋体"/>
          <w:b/>
          <w:bCs/>
          <w:color w:val="000000" w:themeColor="text1"/>
          <w14:textFill>
            <w14:solidFill>
              <w14:schemeClr w14:val="tx1"/>
            </w14:solidFill>
          </w14:textFill>
        </w:rPr>
        <w:t>[竞价供应商</w:t>
      </w:r>
      <w:r>
        <w:rPr>
          <w:rFonts w:hint="eastAsia" w:cs="宋体"/>
          <w:b/>
          <w:bCs/>
        </w:rPr>
        <w:t>可采用邮寄方式(拒绝采用同城达达送件方式)提交</w:t>
      </w:r>
      <w:r>
        <w:rPr>
          <w:rStyle w:val="26"/>
          <w:rFonts w:hint="eastAsia" w:cs="宋体"/>
          <w:b/>
          <w:bCs/>
          <w:color w:val="000000" w:themeColor="text1"/>
          <w14:textFill>
            <w14:solidFill>
              <w14:schemeClr w14:val="tx1"/>
            </w14:solidFill>
          </w14:textFill>
        </w:rPr>
        <w:t>]</w:t>
      </w:r>
      <w:r>
        <w:rPr>
          <w:rStyle w:val="26"/>
          <w:rFonts w:hint="eastAsia" w:cs="宋体"/>
          <w:color w:val="000000" w:themeColor="text1"/>
          <w14:textFill>
            <w14:solidFill>
              <w14:schemeClr w14:val="tx1"/>
            </w14:solidFill>
          </w14:textFill>
        </w:rPr>
        <w:t>，未按以上要求提交报名材料的供应商，将导致其竞价资格被拒绝。</w:t>
      </w:r>
    </w:p>
    <w:p w14:paraId="79CDA8BF">
      <w:pPr>
        <w:spacing w:line="500" w:lineRule="exact"/>
        <w:ind w:firstLine="480" w:firstLineChars="200"/>
        <w:rPr>
          <w:rStyle w:val="26"/>
          <w:rFonts w:ascii="宋体" w:hAnsi="宋体" w:cs="宋体"/>
          <w:color w:val="000000" w:themeColor="text1"/>
          <w:sz w:val="24"/>
          <w14:textFill>
            <w14:solidFill>
              <w14:schemeClr w14:val="tx1"/>
            </w14:solidFill>
          </w14:textFill>
        </w:rPr>
      </w:pPr>
      <w:r>
        <w:rPr>
          <w:rStyle w:val="26"/>
          <w:rFonts w:hint="eastAsia" w:ascii="宋体" w:hAnsi="宋体" w:cs="宋体"/>
          <w:color w:val="000000" w:themeColor="text1"/>
          <w:sz w:val="24"/>
          <w14:textFill>
            <w14:solidFill>
              <w14:schemeClr w14:val="tx1"/>
            </w14:solidFill>
          </w14:textFill>
        </w:rPr>
        <w:t>(2)报名地址：</w:t>
      </w:r>
      <w:r>
        <w:rPr>
          <w:rFonts w:hint="eastAsia" w:ascii="宋体" w:hAnsi="宋体" w:cs="宋体"/>
          <w:bCs/>
          <w:color w:val="000000" w:themeColor="text1"/>
          <w:sz w:val="24"/>
          <w14:textFill>
            <w14:solidFill>
              <w14:schemeClr w14:val="tx1"/>
            </w14:solidFill>
          </w14:textFill>
        </w:rPr>
        <w:t>福建国诚招标有限公司</w:t>
      </w:r>
      <w:r>
        <w:rPr>
          <w:rFonts w:hint="eastAsia" w:ascii="宋体" w:hAnsi="宋体" w:cs="宋体"/>
          <w:bCs/>
          <w:sz w:val="24"/>
        </w:rPr>
        <w:t>(</w:t>
      </w:r>
      <w:r>
        <w:rPr>
          <w:rFonts w:hint="eastAsia" w:ascii="宋体" w:hAnsi="宋体" w:cs="宋体"/>
          <w:bCs/>
          <w:color w:val="000000" w:themeColor="text1"/>
          <w:sz w:val="24"/>
          <w14:textFill>
            <w14:solidFill>
              <w14:schemeClr w14:val="tx1"/>
            </w14:solidFill>
          </w14:textFill>
        </w:rPr>
        <w:t>福州市古田路107号中美大厦24层</w:t>
      </w:r>
      <w:r>
        <w:rPr>
          <w:rFonts w:hint="eastAsia" w:ascii="宋体" w:hAnsi="宋体" w:cs="宋体"/>
          <w:bCs/>
          <w:sz w:val="24"/>
        </w:rPr>
        <w:t>)。</w:t>
      </w:r>
    </w:p>
    <w:p w14:paraId="39A050E7">
      <w:pPr>
        <w:spacing w:line="500" w:lineRule="exact"/>
        <w:ind w:firstLine="480" w:firstLineChars="200"/>
        <w:jc w:val="left"/>
        <w:rPr>
          <w:rStyle w:val="26"/>
          <w:rFonts w:ascii="宋体" w:hAnsi="宋体" w:cs="宋体"/>
          <w:color w:val="000000" w:themeColor="text1"/>
          <w:kern w:val="0"/>
          <w:sz w:val="24"/>
          <w14:textFill>
            <w14:solidFill>
              <w14:schemeClr w14:val="tx1"/>
            </w14:solidFill>
          </w14:textFill>
        </w:rPr>
      </w:pPr>
      <w:r>
        <w:rPr>
          <w:rStyle w:val="26"/>
          <w:rFonts w:hint="eastAsia" w:ascii="宋体" w:hAnsi="宋体" w:cs="宋体"/>
          <w:color w:val="000000" w:themeColor="text1"/>
          <w:sz w:val="24"/>
          <w14:textFill>
            <w14:solidFill>
              <w14:schemeClr w14:val="tx1"/>
            </w14:solidFill>
          </w14:textFill>
        </w:rPr>
        <w:t>(3)</w:t>
      </w:r>
      <w:r>
        <w:rPr>
          <w:rStyle w:val="26"/>
          <w:rFonts w:hint="eastAsia" w:ascii="宋体" w:hAnsi="宋体" w:cs="宋体"/>
          <w:color w:val="000000" w:themeColor="text1"/>
          <w:kern w:val="0"/>
          <w:sz w:val="24"/>
          <w14:textFill>
            <w14:solidFill>
              <w14:schemeClr w14:val="tx1"/>
            </w14:solidFill>
          </w14:textFill>
        </w:rPr>
        <w:t>竞价供应商在</w:t>
      </w:r>
      <w:r>
        <w:rPr>
          <w:rFonts w:hint="eastAsia" w:ascii="宋体" w:hAnsi="宋体" w:cs="宋体"/>
          <w:bCs/>
          <w:color w:val="000000" w:themeColor="text1"/>
          <w:kern w:val="0"/>
          <w:sz w:val="24"/>
          <w14:textFill>
            <w14:solidFill>
              <w14:schemeClr w14:val="tx1"/>
            </w14:solidFill>
          </w14:textFill>
        </w:rPr>
        <w:t>福建国诚招标有限公司</w:t>
      </w:r>
      <w:r>
        <w:rPr>
          <w:rStyle w:val="26"/>
          <w:rFonts w:hint="eastAsia" w:ascii="宋体" w:hAnsi="宋体" w:cs="宋体"/>
          <w:color w:val="000000" w:themeColor="text1"/>
          <w:kern w:val="0"/>
          <w:sz w:val="24"/>
          <w14:textFill>
            <w14:solidFill>
              <w14:schemeClr w14:val="tx1"/>
            </w14:solidFill>
          </w14:textFill>
        </w:rPr>
        <w:t>网上竞价系统(http://115.28.8.36/)进行供应商注册、报名、竞价投标。</w:t>
      </w:r>
    </w:p>
    <w:p w14:paraId="32FB3BF6">
      <w:pPr>
        <w:spacing w:line="500" w:lineRule="exact"/>
        <w:ind w:firstLine="480" w:firstLineChars="200"/>
        <w:rPr>
          <w:rStyle w:val="26"/>
          <w:rFonts w:ascii="宋体" w:hAnsi="宋体" w:cs="宋体"/>
          <w:color w:val="000000" w:themeColor="text1"/>
          <w:kern w:val="0"/>
          <w:sz w:val="24"/>
          <w14:textFill>
            <w14:solidFill>
              <w14:schemeClr w14:val="tx1"/>
            </w14:solidFill>
          </w14:textFill>
        </w:rPr>
      </w:pPr>
      <w:r>
        <w:rPr>
          <w:rStyle w:val="26"/>
          <w:rFonts w:hint="eastAsia" w:ascii="宋体" w:hAnsi="宋体" w:cs="宋体"/>
          <w:color w:val="000000" w:themeColor="text1"/>
          <w:sz w:val="24"/>
          <w14:textFill>
            <w14:solidFill>
              <w14:schemeClr w14:val="tx1"/>
            </w14:solidFill>
          </w14:textFill>
        </w:rPr>
        <w:t>(4)</w:t>
      </w:r>
      <w:r>
        <w:rPr>
          <w:rStyle w:val="26"/>
          <w:rFonts w:hint="eastAsia" w:ascii="宋体" w:hAnsi="宋体" w:cs="宋体"/>
          <w:color w:val="000000" w:themeColor="text1"/>
          <w:kern w:val="0"/>
          <w:sz w:val="24"/>
          <w14:textFill>
            <w14:solidFill>
              <w14:schemeClr w14:val="tx1"/>
            </w14:solidFill>
          </w14:textFill>
        </w:rPr>
        <w:t>证明材料审核通过后方可进行相应网上竞价项目的竞价活动。</w:t>
      </w:r>
    </w:p>
    <w:p w14:paraId="68A0DC5F">
      <w:pPr>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12.质疑：</w:t>
      </w:r>
    </w:p>
    <w:p w14:paraId="2E7DE36E">
      <w:pPr>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接收质疑函的方式：现场方式，纸质接收</w:t>
      </w:r>
    </w:p>
    <w:p w14:paraId="1590111C">
      <w:pPr>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联系部门：办公室</w:t>
      </w:r>
    </w:p>
    <w:p w14:paraId="7611AACA">
      <w:pPr>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联系电话和通讯地址：0591-83393307，福州市古田路107号中美大厦24层福建国诚招标有限公司。</w:t>
      </w:r>
    </w:p>
    <w:p w14:paraId="723F3353">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注：</w:t>
      </w:r>
    </w:p>
    <w:p w14:paraId="51E29BD9">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(1)供应商提出质疑时，应提交质疑函和必要的证明材料。</w:t>
      </w:r>
    </w:p>
    <w:p w14:paraId="22941EC9">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D575BB8">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(3)质疑供应商若对项目的某一分包进行质疑，质疑函中应列明具体分包号。</w:t>
      </w:r>
    </w:p>
    <w:p w14:paraId="1CC37CED">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(4)质疑函的质疑事项应具体、明确，并有必要的事实依据和法律依据。</w:t>
      </w:r>
    </w:p>
    <w:p w14:paraId="331888AA">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(5)质疑函的质疑请求应与质疑事项相关。</w:t>
      </w:r>
    </w:p>
    <w:p w14:paraId="7AE6F3E6">
      <w:pPr>
        <w:spacing w:line="500" w:lineRule="exact"/>
        <w:ind w:firstLine="480" w:firstLineChars="200"/>
        <w:rPr>
          <w:rStyle w:val="26"/>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62EED942">
      <w:pPr>
        <w:spacing w:line="500" w:lineRule="exact"/>
        <w:jc w:val="left"/>
        <w:textAlignment w:val="auto"/>
        <w:rPr>
          <w:rStyle w:val="26"/>
          <w:rFonts w:ascii="宋体" w:hAnsi="宋体" w:cs="宋体"/>
          <w:color w:val="000000" w:themeColor="text1"/>
          <w:kern w:val="0"/>
          <w:sz w:val="24"/>
          <w14:textFill>
            <w14:solidFill>
              <w14:schemeClr w14:val="tx1"/>
            </w14:solidFill>
          </w14:textFill>
        </w:rPr>
      </w:pPr>
      <w:r>
        <w:rPr>
          <w:rStyle w:val="26"/>
          <w:rFonts w:hint="eastAsia" w:ascii="宋体" w:hAnsi="宋体" w:cs="宋体"/>
          <w:color w:val="000000" w:themeColor="text1"/>
          <w:kern w:val="0"/>
          <w:sz w:val="24"/>
          <w14:textFill>
            <w14:solidFill>
              <w14:schemeClr w14:val="tx1"/>
            </w14:solidFill>
          </w14:textFill>
        </w:rPr>
        <w:br w:type="page"/>
      </w:r>
    </w:p>
    <w:p w14:paraId="34F32518">
      <w:pPr>
        <w:spacing w:line="500" w:lineRule="exact"/>
        <w:jc w:val="center"/>
        <w:outlineLvl w:val="1"/>
        <w:rPr>
          <w:rStyle w:val="26"/>
          <w:rFonts w:ascii="宋体" w:hAnsi="宋体" w:cs="宋体"/>
          <w:b/>
          <w:color w:val="000000" w:themeColor="text1"/>
          <w:kern w:val="0"/>
          <w:sz w:val="30"/>
          <w:szCs w:val="30"/>
          <w14:textFill>
            <w14:solidFill>
              <w14:schemeClr w14:val="tx1"/>
            </w14:solidFill>
          </w14:textFill>
        </w:rPr>
      </w:pPr>
      <w:bookmarkStart w:id="2" w:name="_Toc10667"/>
      <w:bookmarkStart w:id="3" w:name="_Toc97708364"/>
      <w:r>
        <w:rPr>
          <w:rStyle w:val="26"/>
          <w:rFonts w:hint="eastAsia" w:ascii="宋体" w:hAnsi="宋体" w:cs="宋体"/>
          <w:b/>
          <w:color w:val="000000" w:themeColor="text1"/>
          <w:kern w:val="0"/>
          <w:sz w:val="30"/>
          <w:szCs w:val="30"/>
          <w14:textFill>
            <w14:solidFill>
              <w14:schemeClr w14:val="tx1"/>
            </w14:solidFill>
          </w14:textFill>
        </w:rPr>
        <w:t>第二章 网上竞价内容及要求</w:t>
      </w:r>
      <w:bookmarkEnd w:id="2"/>
      <w:bookmarkEnd w:id="3"/>
    </w:p>
    <w:p w14:paraId="26C6FE10">
      <w:pPr>
        <w:snapToGrid w:val="0"/>
        <w:spacing w:line="360" w:lineRule="auto"/>
        <w:ind w:firstLine="470" w:firstLineChars="196"/>
        <w:rPr>
          <w:rFonts w:ascii="宋体" w:hAnsi="宋体" w:cs="宋体"/>
          <w:b/>
          <w:bCs/>
          <w:color w:val="000000" w:themeColor="text1"/>
          <w:sz w:val="24"/>
          <w14:textFill>
            <w14:solidFill>
              <w14:schemeClr w14:val="tx1"/>
            </w14:solidFill>
          </w14:textFill>
        </w:rPr>
      </w:pPr>
      <w:r>
        <w:rPr>
          <w:rStyle w:val="26"/>
          <w:rFonts w:hint="eastAsia" w:ascii="宋体" w:hAnsi="宋体" w:cs="宋体"/>
          <w:b/>
          <w:color w:val="000000" w:themeColor="text1"/>
          <w:sz w:val="24"/>
          <w14:textFill>
            <w14:solidFill>
              <w14:schemeClr w14:val="tx1"/>
            </w14:solidFill>
          </w14:textFill>
        </w:rPr>
        <w:t>一、项目概述</w:t>
      </w:r>
      <w:r>
        <w:rPr>
          <w:rFonts w:hint="eastAsia" w:ascii="宋体" w:hAnsi="宋体" w:cs="宋体"/>
          <w:b/>
          <w:bCs/>
          <w:color w:val="000000"/>
          <w:kern w:val="0"/>
          <w:sz w:val="24"/>
        </w:rPr>
        <w:t>：</w:t>
      </w:r>
    </w:p>
    <w:p w14:paraId="19C07DD1">
      <w:pPr>
        <w:tabs>
          <w:tab w:val="left" w:pos="0"/>
        </w:tabs>
        <w:adjustRightInd w:val="0"/>
        <w:spacing w:line="360" w:lineRule="auto"/>
        <w:ind w:firstLine="480" w:firstLineChars="200"/>
        <w:rPr>
          <w:rStyle w:val="26"/>
          <w:rFonts w:hint="eastAsia" w:ascii="宋体" w:hAnsi="宋体" w:eastAsia="宋体" w:cs="宋体"/>
          <w:bCs w:val="0"/>
          <w:color w:val="000000" w:themeColor="text1"/>
          <w:sz w:val="24"/>
          <w14:textFill>
            <w14:solidFill>
              <w14:schemeClr w14:val="tx1"/>
            </w14:solidFill>
          </w14:textFill>
        </w:rPr>
      </w:pPr>
      <w:r>
        <w:rPr>
          <w:rStyle w:val="26"/>
          <w:rFonts w:hint="eastAsia" w:ascii="宋体" w:hAnsi="宋体" w:eastAsia="宋体" w:cs="宋体"/>
          <w:bCs w:val="0"/>
          <w:color w:val="000000" w:themeColor="text1"/>
          <w:sz w:val="24"/>
          <w14:textFill>
            <w14:solidFill>
              <w14:schemeClr w14:val="tx1"/>
            </w14:solidFill>
          </w14:textFill>
        </w:rPr>
        <w:t>1、项目建设背景及现状分析</w:t>
      </w:r>
    </w:p>
    <w:p w14:paraId="08AB0054">
      <w:pPr>
        <w:tabs>
          <w:tab w:val="left" w:pos="0"/>
        </w:tabs>
        <w:adjustRightInd w:val="0"/>
        <w:spacing w:line="360" w:lineRule="auto"/>
        <w:ind w:firstLine="480" w:firstLineChars="200"/>
        <w:rPr>
          <w:rStyle w:val="26"/>
          <w:rFonts w:hint="eastAsia" w:ascii="宋体" w:hAnsi="宋体" w:eastAsia="宋体" w:cs="宋体"/>
          <w:bCs w:val="0"/>
          <w:color w:val="000000" w:themeColor="text1"/>
          <w:sz w:val="24"/>
          <w14:textFill>
            <w14:solidFill>
              <w14:schemeClr w14:val="tx1"/>
            </w14:solidFill>
          </w14:textFill>
        </w:rPr>
      </w:pPr>
      <w:r>
        <w:rPr>
          <w:rStyle w:val="26"/>
          <w:rFonts w:hint="eastAsia" w:ascii="宋体" w:hAnsi="宋体" w:eastAsia="宋体" w:cs="宋体"/>
          <w:bCs w:val="0"/>
          <w:color w:val="000000" w:themeColor="text1"/>
          <w:sz w:val="24"/>
          <w14:textFill>
            <w14:solidFill>
              <w14:schemeClr w14:val="tx1"/>
            </w14:solidFill>
          </w14:textFill>
        </w:rPr>
        <w:t>学校数据中心机房于2018年建设，位于厚实楼4楼东侧，机房面积约</w:t>
      </w:r>
      <w:r>
        <w:rPr>
          <w:rStyle w:val="26"/>
          <w:rFonts w:hint="eastAsia" w:ascii="宋体" w:hAnsi="宋体" w:cs="宋体"/>
          <w:bCs w:val="0"/>
          <w:color w:val="000000" w:themeColor="text1"/>
          <w:sz w:val="24"/>
          <w:lang w:val="en-US" w:eastAsia="zh-CN"/>
          <w14:textFill>
            <w14:solidFill>
              <w14:schemeClr w14:val="tx1"/>
            </w14:solidFill>
          </w14:textFill>
        </w:rPr>
        <w:t>400</w:t>
      </w:r>
      <w:r>
        <w:rPr>
          <w:rStyle w:val="26"/>
          <w:rFonts w:hint="eastAsia" w:ascii="宋体" w:hAnsi="宋体" w:eastAsia="宋体" w:cs="宋体"/>
          <w:bCs w:val="0"/>
          <w:color w:val="000000" w:themeColor="text1"/>
          <w:sz w:val="24"/>
          <w14:textFill>
            <w14:solidFill>
              <w14:schemeClr w14:val="tx1"/>
            </w14:solidFill>
          </w14:textFill>
        </w:rPr>
        <w:t>平米。机房设计建设冷通道微模块软硬件设备3套，主要含以下10个模块：机房基础环境部分、电气系统、机房设备部分、防雷接地部分、综合布线部分、冷通道部分、动环监控管理系统、KVM部分、安防部分、消防等系统。即数据中心机房具备宽带网络、网络设备、服务器等部署条件。</w:t>
      </w:r>
    </w:p>
    <w:p w14:paraId="44EE9B3E">
      <w:pPr>
        <w:tabs>
          <w:tab w:val="left" w:pos="0"/>
        </w:tabs>
        <w:adjustRightInd w:val="0"/>
        <w:spacing w:line="360" w:lineRule="auto"/>
        <w:ind w:firstLine="480" w:firstLineChars="200"/>
        <w:rPr>
          <w:rStyle w:val="26"/>
          <w:rFonts w:hint="eastAsia" w:ascii="宋体" w:hAnsi="宋体" w:eastAsia="宋体" w:cs="宋体"/>
          <w:bCs w:val="0"/>
          <w:color w:val="000000" w:themeColor="text1"/>
          <w:sz w:val="24"/>
          <w14:textFill>
            <w14:solidFill>
              <w14:schemeClr w14:val="tx1"/>
            </w14:solidFill>
          </w14:textFill>
        </w:rPr>
      </w:pPr>
      <w:r>
        <w:rPr>
          <w:rStyle w:val="26"/>
          <w:rFonts w:hint="eastAsia" w:ascii="宋体" w:hAnsi="宋体" w:eastAsia="宋体" w:cs="宋体"/>
          <w:bCs w:val="0"/>
          <w:color w:val="000000" w:themeColor="text1"/>
          <w:sz w:val="24"/>
          <w14:textFill>
            <w14:solidFill>
              <w14:schemeClr w14:val="tx1"/>
            </w14:solidFill>
          </w14:textFill>
        </w:rPr>
        <w:t>机房自2018年建成投用至今，已连续运行8年，设备普遍出现老化、损耗、性能下降等现象。结合现场实地排查检测，目前机房十大功能模块均存在不同程度故障及隐患，未得到系统性维保治理。现阶段主要存在消防系统重大隐患、制冷系统故障、冷通道密闭失效、供配电三相负荷失衡、动力环境监测系统瘫痪、物理环境等多项叠加风险。原有动环监控完全失效，运维无数据、无预警；制冷设备老化故障，温控能力不足；消防设施超期未检，灭火能力缺失；配电运行不规范，存在电气安全隐患；加之缺乏常态化专业运维，机房整体运行工况持续恶化，已达不到现行数据中心B级机房运行标准，严重威胁校园信息化业务稳定。</w:t>
      </w:r>
    </w:p>
    <w:p w14:paraId="5EDFA29E">
      <w:pPr>
        <w:tabs>
          <w:tab w:val="left" w:pos="0"/>
        </w:tabs>
        <w:adjustRightInd w:val="0"/>
        <w:spacing w:line="360" w:lineRule="auto"/>
        <w:ind w:firstLine="480" w:firstLineChars="200"/>
        <w:rPr>
          <w:rStyle w:val="26"/>
          <w:rFonts w:hint="eastAsia" w:ascii="宋体" w:hAnsi="宋体" w:eastAsia="宋体" w:cs="宋体"/>
          <w:bCs w:val="0"/>
          <w:color w:val="000000" w:themeColor="text1"/>
          <w:sz w:val="24"/>
          <w14:textFill>
            <w14:solidFill>
              <w14:schemeClr w14:val="tx1"/>
            </w14:solidFill>
          </w14:textFill>
        </w:rPr>
      </w:pPr>
      <w:r>
        <w:rPr>
          <w:rStyle w:val="26"/>
          <w:rFonts w:hint="eastAsia" w:ascii="宋体" w:hAnsi="宋体" w:cs="宋体"/>
          <w:bCs w:val="0"/>
          <w:color w:val="000000" w:themeColor="text1"/>
          <w:sz w:val="24"/>
          <w:lang w:eastAsia="zh-CN"/>
          <w14:textFill>
            <w14:solidFill>
              <w14:schemeClr w14:val="tx1"/>
            </w14:solidFill>
          </w14:textFill>
        </w:rPr>
        <w:t>2、</w:t>
      </w:r>
      <w:r>
        <w:rPr>
          <w:rStyle w:val="26"/>
          <w:rFonts w:hint="eastAsia" w:ascii="宋体" w:hAnsi="宋体" w:eastAsia="宋体" w:cs="宋体"/>
          <w:bCs w:val="0"/>
          <w:color w:val="000000" w:themeColor="text1"/>
          <w:sz w:val="24"/>
          <w14:textFill>
            <w14:solidFill>
              <w14:schemeClr w14:val="tx1"/>
            </w14:solidFill>
          </w14:textFill>
        </w:rPr>
        <w:t>建设目标</w:t>
      </w:r>
    </w:p>
    <w:p w14:paraId="20ED5D8C">
      <w:pPr>
        <w:tabs>
          <w:tab w:val="left" w:pos="0"/>
        </w:tabs>
        <w:adjustRightInd w:val="0"/>
        <w:spacing w:line="360" w:lineRule="auto"/>
        <w:ind w:firstLine="480" w:firstLineChars="200"/>
        <w:rPr>
          <w:rStyle w:val="26"/>
          <w:rFonts w:hint="eastAsia" w:ascii="宋体" w:hAnsi="宋体" w:eastAsia="宋体" w:cs="宋体"/>
          <w:bCs w:val="0"/>
          <w:color w:val="000000" w:themeColor="text1"/>
          <w:sz w:val="24"/>
          <w14:textFill>
            <w14:solidFill>
              <w14:schemeClr w14:val="tx1"/>
            </w14:solidFill>
          </w14:textFill>
        </w:rPr>
      </w:pPr>
      <w:r>
        <w:rPr>
          <w:rStyle w:val="26"/>
          <w:rFonts w:hint="eastAsia" w:ascii="宋体" w:hAnsi="宋体" w:eastAsia="宋体" w:cs="宋体"/>
          <w:bCs w:val="0"/>
          <w:color w:val="000000" w:themeColor="text1"/>
          <w:sz w:val="24"/>
          <w14:textFill>
            <w14:solidFill>
              <w14:schemeClr w14:val="tx1"/>
            </w14:solidFill>
          </w14:textFill>
        </w:rPr>
        <w:t>结合现机房现存消防、制冷、供配电、冷通道、环境监测、物理环境等系统性安全隐患，本次整改及运维服务项目以“消除安全隐患、补齐运维短板、规范机房运行、保障教学业务”为总体建设目标。通过专业化故障整改、设备检修、系统升级、环境整治及常态化运维服务，全面修复机房现有故障设备，优化机房基础设施运行工况，完善机房安全防护体系。立足校内信息化稳定运行要求，对标数据中心B级建设运维标准，构建安全、稳定、恒温、可控、可监测、可预警的标准化机房运行环境。彻底解决当前消防失效、制冷不足、供电失衡等突出问题，补齐机房智能化监测与精细化运维短板，建立长效规范化机房运维管理机制，保障校园网络、教务系统、办公平台、服务器集群等核心信息化业务长期、连续、安全运行，为学校教学科研、行政管理、智慧校园建设提供坚实可靠的底层基础设施支撑。</w:t>
      </w:r>
    </w:p>
    <w:p w14:paraId="533B6E58">
      <w:pPr>
        <w:tabs>
          <w:tab w:val="left" w:pos="0"/>
        </w:tabs>
        <w:adjustRightInd w:val="0"/>
        <w:spacing w:line="360" w:lineRule="auto"/>
        <w:ind w:firstLine="480" w:firstLineChars="200"/>
        <w:rPr>
          <w:rStyle w:val="26"/>
          <w:rFonts w:hint="eastAsia" w:ascii="宋体" w:hAnsi="宋体" w:eastAsia="宋体" w:cs="宋体"/>
          <w:bCs w:val="0"/>
          <w:color w:val="000000" w:themeColor="text1"/>
          <w:sz w:val="24"/>
          <w14:textFill>
            <w14:solidFill>
              <w14:schemeClr w14:val="tx1"/>
            </w14:solidFill>
          </w14:textFill>
        </w:rPr>
      </w:pPr>
      <w:r>
        <w:rPr>
          <w:rStyle w:val="26"/>
          <w:rFonts w:hint="eastAsia" w:ascii="宋体" w:hAnsi="宋体" w:cs="宋体"/>
          <w:bCs w:val="0"/>
          <w:color w:val="000000" w:themeColor="text1"/>
          <w:sz w:val="24"/>
          <w:lang w:val="en-US" w:eastAsia="zh-CN"/>
          <w14:textFill>
            <w14:solidFill>
              <w14:schemeClr w14:val="tx1"/>
            </w14:solidFill>
          </w14:textFill>
        </w:rPr>
        <w:t>3、</w:t>
      </w:r>
      <w:r>
        <w:rPr>
          <w:rStyle w:val="26"/>
          <w:rFonts w:hint="eastAsia" w:ascii="宋体" w:hAnsi="宋体" w:eastAsia="宋体" w:cs="宋体"/>
          <w:bCs w:val="0"/>
          <w:color w:val="000000" w:themeColor="text1"/>
          <w:sz w:val="24"/>
          <w14:textFill>
            <w14:solidFill>
              <w14:schemeClr w14:val="tx1"/>
            </w14:solidFill>
          </w14:textFill>
        </w:rPr>
        <w:t>预期成效及作用</w:t>
      </w:r>
    </w:p>
    <w:p w14:paraId="7E148258">
      <w:pPr>
        <w:tabs>
          <w:tab w:val="left" w:pos="0"/>
        </w:tabs>
        <w:adjustRightInd w:val="0"/>
        <w:spacing w:line="360" w:lineRule="auto"/>
        <w:ind w:firstLine="480" w:firstLineChars="200"/>
        <w:rPr>
          <w:rStyle w:val="26"/>
          <w:color w:val="000000" w:themeColor="text1"/>
          <w14:textFill>
            <w14:solidFill>
              <w14:schemeClr w14:val="tx1"/>
            </w14:solidFill>
          </w14:textFill>
        </w:rPr>
      </w:pPr>
      <w:r>
        <w:rPr>
          <w:rStyle w:val="26"/>
          <w:rFonts w:hint="eastAsia" w:ascii="宋体" w:hAnsi="宋体" w:eastAsia="宋体" w:cs="宋体"/>
          <w:bCs w:val="0"/>
          <w:color w:val="000000" w:themeColor="text1"/>
          <w:sz w:val="24"/>
          <w14:textFill>
            <w14:solidFill>
              <w14:schemeClr w14:val="tx1"/>
            </w14:solidFill>
          </w14:textFill>
        </w:rPr>
        <w:t>项目建设完成后，彻底消除重大安全隐患，筑牢机房安全底线，优化基础设施工况，延长设备使用寿命，稳定校园信息化业务，保障教学办公秩序</w:t>
      </w:r>
    </w:p>
    <w:p w14:paraId="15CADB75">
      <w:pPr>
        <w:tabs>
          <w:tab w:val="left" w:pos="0"/>
        </w:tabs>
        <w:adjustRightIn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Style w:val="26"/>
          <w:rFonts w:hint="eastAsia" w:ascii="宋体" w:hAnsi="宋体" w:cs="宋体"/>
          <w:color w:val="000000" w:themeColor="text1"/>
          <w:sz w:val="24"/>
          <w:lang w:val="en-US" w:eastAsia="zh-CN"/>
          <w14:textFill>
            <w14:solidFill>
              <w14:schemeClr w14:val="tx1"/>
            </w14:solidFill>
          </w14:textFill>
        </w:rPr>
        <w:t>4</w:t>
      </w:r>
      <w:r>
        <w:rPr>
          <w:rStyle w:val="26"/>
          <w:rFonts w:hint="eastAsia" w:ascii="宋体" w:hAnsi="宋体" w:eastAsia="宋体" w:cs="宋体"/>
          <w:color w:val="000000" w:themeColor="text1"/>
          <w:sz w:val="24"/>
          <w14:textFill>
            <w14:solidFill>
              <w14:schemeClr w14:val="tx1"/>
            </w14:solidFill>
          </w14:textFill>
        </w:rPr>
        <w:t>、报价要求：</w:t>
      </w:r>
    </w:p>
    <w:p w14:paraId="0A2379EA">
      <w:pPr>
        <w:tabs>
          <w:tab w:val="left" w:pos="0"/>
        </w:tabs>
        <w:adjustRightInd w:val="0"/>
        <w:spacing w:line="360" w:lineRule="auto"/>
        <w:ind w:firstLine="480" w:firstLineChars="200"/>
        <w:rPr>
          <w:rFonts w:hint="eastAsia" w:ascii="宋体" w:hAnsi="宋体" w:eastAsia="宋体" w:cs="宋体"/>
          <w:b/>
          <w:color w:val="000000" w:themeColor="text1"/>
          <w:sz w:val="24"/>
          <w14:textFill>
            <w14:solidFill>
              <w14:schemeClr w14:val="tx1"/>
            </w14:solidFill>
          </w14:textFill>
        </w:rPr>
      </w:pPr>
      <w:r>
        <w:rPr>
          <w:rStyle w:val="26"/>
          <w:rFonts w:hint="eastAsia" w:ascii="宋体" w:hAnsi="宋体" w:cs="宋体"/>
          <w:color w:val="000000" w:themeColor="text1"/>
          <w:sz w:val="24"/>
          <w:lang w:val="en-US" w:eastAsia="zh-CN"/>
          <w14:textFill>
            <w14:solidFill>
              <w14:schemeClr w14:val="tx1"/>
            </w14:solidFill>
          </w14:textFill>
        </w:rPr>
        <w:t>4</w:t>
      </w:r>
      <w:r>
        <w:rPr>
          <w:rStyle w:val="26"/>
          <w:rFonts w:hint="eastAsia" w:ascii="宋体" w:hAnsi="宋体" w:eastAsia="宋体" w:cs="宋体"/>
          <w:color w:val="000000" w:themeColor="text1"/>
          <w:sz w:val="24"/>
          <w14:textFill>
            <w14:solidFill>
              <w14:schemeClr w14:val="tx1"/>
            </w14:solidFill>
          </w14:textFill>
        </w:rPr>
        <w:t>.1竞价供应商对</w:t>
      </w:r>
      <w:r>
        <w:rPr>
          <w:rFonts w:hint="eastAsia" w:ascii="宋体" w:hAnsi="宋体" w:eastAsia="宋体" w:cs="宋体"/>
          <w:bCs/>
          <w:sz w:val="24"/>
        </w:rPr>
        <w:t>每个品目的单价报价最多</w:t>
      </w:r>
      <w:r>
        <w:rPr>
          <w:rFonts w:hint="eastAsia" w:ascii="宋体" w:hAnsi="宋体" w:eastAsia="宋体" w:cs="宋体"/>
          <w:color w:val="000000"/>
          <w:sz w:val="24"/>
        </w:rPr>
        <w:t>保留小数点后2位数，否则按无效报价处理。</w:t>
      </w:r>
    </w:p>
    <w:p w14:paraId="19E84B1E">
      <w:pPr>
        <w:tabs>
          <w:tab w:val="left" w:pos="0"/>
        </w:tabs>
        <w:adjustRightInd w:val="0"/>
        <w:spacing w:line="360" w:lineRule="auto"/>
        <w:ind w:firstLine="480" w:firstLineChars="200"/>
        <w:rPr>
          <w:rFonts w:hint="eastAsia" w:ascii="宋体" w:hAnsi="宋体" w:eastAsia="宋体" w:cs="宋体"/>
          <w:b/>
          <w:color w:val="000000" w:themeColor="text1"/>
          <w:sz w:val="24"/>
          <w14:textFill>
            <w14:solidFill>
              <w14:schemeClr w14:val="tx1"/>
            </w14:solidFill>
          </w14:textFill>
        </w:rPr>
      </w:pPr>
      <w:r>
        <w:rPr>
          <w:rStyle w:val="26"/>
          <w:rFonts w:hint="eastAsia" w:ascii="宋体" w:hAnsi="宋体" w:cs="宋体"/>
          <w:color w:val="000000" w:themeColor="text1"/>
          <w:sz w:val="24"/>
          <w:lang w:val="en-US" w:eastAsia="zh-CN"/>
          <w14:textFill>
            <w14:solidFill>
              <w14:schemeClr w14:val="tx1"/>
            </w14:solidFill>
          </w14:textFill>
        </w:rPr>
        <w:t>4</w:t>
      </w:r>
      <w:r>
        <w:rPr>
          <w:rStyle w:val="26"/>
          <w:rFonts w:hint="eastAsia" w:ascii="宋体" w:hAnsi="宋体" w:eastAsia="宋体" w:cs="宋体"/>
          <w:color w:val="000000" w:themeColor="text1"/>
          <w:sz w:val="24"/>
          <w14:textFill>
            <w14:solidFill>
              <w14:schemeClr w14:val="tx1"/>
            </w14:solidFill>
          </w14:textFill>
        </w:rPr>
        <w:t>.2竞价供应商</w:t>
      </w:r>
      <w:r>
        <w:rPr>
          <w:rFonts w:hint="eastAsia" w:ascii="宋体" w:hAnsi="宋体" w:eastAsia="宋体" w:cs="宋体"/>
          <w:color w:val="000000"/>
          <w:sz w:val="24"/>
        </w:rPr>
        <w:t>超过</w:t>
      </w:r>
      <w:r>
        <w:rPr>
          <w:rFonts w:hint="eastAsia" w:ascii="宋体" w:hAnsi="宋体" w:eastAsia="宋体" w:cs="宋体"/>
          <w:b/>
          <w:bCs/>
          <w:color w:val="000000"/>
          <w:kern w:val="0"/>
          <w:sz w:val="24"/>
          <w:lang w:bidi="ar"/>
        </w:rPr>
        <w:t>最高限价</w:t>
      </w:r>
      <w:r>
        <w:rPr>
          <w:rFonts w:hint="eastAsia" w:ascii="宋体" w:hAnsi="宋体" w:eastAsia="宋体" w:cs="宋体"/>
          <w:sz w:val="24"/>
        </w:rPr>
        <w:t>或</w:t>
      </w:r>
      <w:r>
        <w:rPr>
          <w:rFonts w:hint="eastAsia" w:ascii="宋体" w:hAnsi="宋体" w:eastAsia="宋体" w:cs="宋体"/>
          <w:b/>
          <w:bCs/>
          <w:color w:val="000000"/>
          <w:kern w:val="0"/>
          <w:sz w:val="24"/>
          <w:lang w:bidi="ar"/>
        </w:rPr>
        <w:t>最高单价限价</w:t>
      </w:r>
      <w:r>
        <w:rPr>
          <w:rFonts w:hint="eastAsia" w:ascii="宋体" w:hAnsi="宋体" w:eastAsia="宋体" w:cs="宋体"/>
          <w:color w:val="000000"/>
          <w:sz w:val="24"/>
        </w:rPr>
        <w:t>的报价为无效报价。</w:t>
      </w:r>
    </w:p>
    <w:p w14:paraId="366BFC92">
      <w:pPr>
        <w:tabs>
          <w:tab w:val="left" w:pos="0"/>
        </w:tabs>
        <w:kinsoku w:val="0"/>
        <w:overflowPunct w:val="0"/>
        <w:autoSpaceDE w:val="0"/>
        <w:autoSpaceDN w:val="0"/>
        <w:adjustRightInd w:val="0"/>
        <w:snapToGrid w:val="0"/>
        <w:spacing w:line="360" w:lineRule="auto"/>
        <w:ind w:firstLine="600" w:firstLineChars="200"/>
        <w:rPr>
          <w:rFonts w:hint="eastAsia" w:ascii="宋体" w:hAnsi="宋体" w:eastAsia="宋体" w:cs="宋体"/>
          <w:color w:val="auto"/>
          <w:sz w:val="28"/>
          <w:szCs w:val="28"/>
          <w:highlight w:val="none"/>
        </w:rPr>
      </w:pPr>
      <w:r>
        <w:rPr>
          <w:rStyle w:val="26"/>
          <w:rFonts w:hint="eastAsia" w:ascii="宋体" w:hAnsi="宋体" w:eastAsia="宋体" w:cs="宋体"/>
          <w:b/>
          <w:color w:val="000000" w:themeColor="text1"/>
          <w:sz w:val="30"/>
          <w:szCs w:val="30"/>
          <w:u w:val="none"/>
          <w14:textFill>
            <w14:solidFill>
              <w14:schemeClr w14:val="tx1"/>
            </w14:solidFill>
          </w14:textFill>
        </w:rPr>
        <w:t>二、技术服务要求：</w:t>
      </w:r>
    </w:p>
    <w:p w14:paraId="0DBE1DB8">
      <w:pPr>
        <w:kinsoku w:val="0"/>
        <w:overflowPunct w:val="0"/>
        <w:autoSpaceDE w:val="0"/>
        <w:autoSpaceDN w:val="0"/>
        <w:adjustRightInd w:val="0"/>
        <w:snapToGrid w:val="0"/>
        <w:spacing w:line="360" w:lineRule="auto"/>
        <w:ind w:firstLine="560" w:firstLineChars="200"/>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1</w:t>
      </w:r>
      <w:r>
        <w:rPr>
          <w:rFonts w:hint="eastAsia" w:ascii="宋体" w:hAnsi="宋体" w:eastAsia="宋体" w:cs="宋体"/>
          <w:b/>
          <w:bCs/>
          <w:color w:val="auto"/>
          <w:sz w:val="28"/>
          <w:szCs w:val="28"/>
          <w:highlight w:val="none"/>
          <w:lang w:eastAsia="zh-CN"/>
        </w:rPr>
        <w:t>、</w:t>
      </w:r>
      <w:r>
        <w:rPr>
          <w:rFonts w:hint="eastAsia" w:ascii="宋体" w:hAnsi="宋体" w:eastAsia="宋体" w:cs="宋体"/>
          <w:b/>
          <w:bCs/>
          <w:color w:val="auto"/>
          <w:sz w:val="28"/>
          <w:szCs w:val="28"/>
          <w:highlight w:val="none"/>
        </w:rPr>
        <w:t>技术要求</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0"/>
        <w:gridCol w:w="3976"/>
        <w:gridCol w:w="936"/>
        <w:gridCol w:w="990"/>
        <w:gridCol w:w="1573"/>
        <w:gridCol w:w="1504"/>
      </w:tblGrid>
      <w:tr w14:paraId="1E53F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960" w:type="dxa"/>
          </w:tcPr>
          <w:p w14:paraId="073E9B43">
            <w:pPr>
              <w:kinsoku w:val="0"/>
              <w:overflowPunct w:val="0"/>
              <w:autoSpaceDE w:val="0"/>
              <w:autoSpaceDN w:val="0"/>
              <w:adjustRightInd w:val="0"/>
              <w:snapToGrid w:val="0"/>
              <w:spacing w:line="360" w:lineRule="auto"/>
              <w:jc w:val="center"/>
              <w:rPr>
                <w:rFonts w:hint="eastAsia" w:ascii="宋体" w:hAnsi="宋体" w:eastAsia="宋体" w:cs="宋体"/>
                <w:b/>
                <w:bCs/>
                <w:sz w:val="24"/>
              </w:rPr>
            </w:pPr>
            <w:r>
              <w:rPr>
                <w:rFonts w:hint="eastAsia" w:ascii="宋体" w:hAnsi="宋体" w:eastAsia="宋体" w:cs="宋体"/>
                <w:b/>
                <w:bCs/>
                <w:sz w:val="24"/>
              </w:rPr>
              <w:t>序号</w:t>
            </w:r>
          </w:p>
        </w:tc>
        <w:tc>
          <w:tcPr>
            <w:tcW w:w="3976" w:type="dxa"/>
          </w:tcPr>
          <w:p w14:paraId="499189EE">
            <w:pPr>
              <w:kinsoku w:val="0"/>
              <w:overflowPunct w:val="0"/>
              <w:autoSpaceDE w:val="0"/>
              <w:autoSpaceDN w:val="0"/>
              <w:adjustRightInd w:val="0"/>
              <w:snapToGrid w:val="0"/>
              <w:spacing w:line="360" w:lineRule="auto"/>
              <w:jc w:val="center"/>
              <w:rPr>
                <w:rFonts w:hint="eastAsia" w:ascii="宋体" w:hAnsi="宋体" w:eastAsia="宋体" w:cs="宋体"/>
                <w:b/>
                <w:bCs/>
                <w:sz w:val="24"/>
              </w:rPr>
            </w:pPr>
            <w:r>
              <w:rPr>
                <w:rFonts w:hint="eastAsia" w:ascii="宋体" w:hAnsi="宋体" w:eastAsia="宋体" w:cs="宋体"/>
                <w:b/>
                <w:bCs/>
                <w:sz w:val="24"/>
                <w:lang w:eastAsia="zh-CN"/>
              </w:rPr>
              <w:t>项目</w:t>
            </w:r>
            <w:r>
              <w:rPr>
                <w:rFonts w:hint="eastAsia" w:ascii="宋体" w:hAnsi="宋体" w:eastAsia="宋体" w:cs="宋体"/>
                <w:b/>
                <w:bCs/>
                <w:sz w:val="24"/>
              </w:rPr>
              <w:t>名称</w:t>
            </w:r>
          </w:p>
        </w:tc>
        <w:tc>
          <w:tcPr>
            <w:tcW w:w="936" w:type="dxa"/>
          </w:tcPr>
          <w:p w14:paraId="1DC5039C">
            <w:pPr>
              <w:kinsoku w:val="0"/>
              <w:overflowPunct w:val="0"/>
              <w:autoSpaceDE w:val="0"/>
              <w:autoSpaceDN w:val="0"/>
              <w:adjustRightInd w:val="0"/>
              <w:snapToGrid w:val="0"/>
              <w:spacing w:line="360" w:lineRule="auto"/>
              <w:jc w:val="center"/>
              <w:rPr>
                <w:rFonts w:hint="eastAsia" w:ascii="宋体" w:hAnsi="宋体" w:eastAsia="宋体" w:cs="宋体"/>
                <w:b/>
                <w:bCs/>
                <w:sz w:val="24"/>
              </w:rPr>
            </w:pPr>
            <w:r>
              <w:rPr>
                <w:rFonts w:hint="eastAsia" w:ascii="宋体" w:hAnsi="宋体" w:eastAsia="宋体" w:cs="宋体"/>
                <w:b/>
                <w:bCs/>
                <w:sz w:val="24"/>
              </w:rPr>
              <w:t>数量</w:t>
            </w:r>
          </w:p>
        </w:tc>
        <w:tc>
          <w:tcPr>
            <w:tcW w:w="990" w:type="dxa"/>
          </w:tcPr>
          <w:p w14:paraId="47E21FB2">
            <w:pPr>
              <w:kinsoku w:val="0"/>
              <w:overflowPunct w:val="0"/>
              <w:autoSpaceDE w:val="0"/>
              <w:autoSpaceDN w:val="0"/>
              <w:adjustRightInd w:val="0"/>
              <w:snapToGrid w:val="0"/>
              <w:spacing w:line="360" w:lineRule="auto"/>
              <w:jc w:val="center"/>
              <w:rPr>
                <w:rFonts w:hint="eastAsia" w:ascii="宋体" w:hAnsi="宋体" w:eastAsia="宋体" w:cs="宋体"/>
                <w:b/>
                <w:bCs/>
                <w:sz w:val="24"/>
              </w:rPr>
            </w:pPr>
            <w:r>
              <w:rPr>
                <w:rFonts w:hint="eastAsia" w:ascii="宋体" w:hAnsi="宋体" w:eastAsia="宋体" w:cs="宋体"/>
                <w:b/>
                <w:bCs/>
                <w:sz w:val="24"/>
              </w:rPr>
              <w:t>单位</w:t>
            </w:r>
          </w:p>
        </w:tc>
        <w:tc>
          <w:tcPr>
            <w:tcW w:w="1573" w:type="dxa"/>
          </w:tcPr>
          <w:p w14:paraId="66172F78">
            <w:pPr>
              <w:kinsoku w:val="0"/>
              <w:overflowPunct w:val="0"/>
              <w:autoSpaceDE w:val="0"/>
              <w:autoSpaceDN w:val="0"/>
              <w:adjustRightInd w:val="0"/>
              <w:snapToGrid w:val="0"/>
              <w:spacing w:line="360" w:lineRule="auto"/>
              <w:jc w:val="center"/>
              <w:rPr>
                <w:rFonts w:hint="eastAsia" w:ascii="宋体" w:hAnsi="宋体" w:eastAsia="宋体" w:cs="宋体"/>
                <w:b/>
                <w:bCs/>
                <w:sz w:val="24"/>
              </w:rPr>
            </w:pPr>
            <w:r>
              <w:rPr>
                <w:rFonts w:hint="eastAsia" w:ascii="宋体" w:hAnsi="宋体" w:eastAsia="宋体" w:cs="宋体"/>
                <w:b/>
                <w:bCs/>
                <w:sz w:val="24"/>
              </w:rPr>
              <w:t>单价（元）</w:t>
            </w:r>
          </w:p>
        </w:tc>
        <w:tc>
          <w:tcPr>
            <w:tcW w:w="1504" w:type="dxa"/>
          </w:tcPr>
          <w:p w14:paraId="13361A96">
            <w:pPr>
              <w:kinsoku w:val="0"/>
              <w:overflowPunct w:val="0"/>
              <w:autoSpaceDE w:val="0"/>
              <w:autoSpaceDN w:val="0"/>
              <w:adjustRightInd w:val="0"/>
              <w:snapToGrid w:val="0"/>
              <w:spacing w:line="360" w:lineRule="auto"/>
              <w:jc w:val="center"/>
              <w:rPr>
                <w:rFonts w:hint="eastAsia" w:ascii="宋体" w:hAnsi="宋体" w:eastAsia="宋体" w:cs="宋体"/>
                <w:b/>
                <w:bCs/>
                <w:sz w:val="24"/>
              </w:rPr>
            </w:pPr>
            <w:r>
              <w:rPr>
                <w:rFonts w:hint="eastAsia" w:ascii="宋体" w:hAnsi="宋体" w:eastAsia="宋体" w:cs="宋体"/>
                <w:b/>
                <w:bCs/>
                <w:sz w:val="24"/>
              </w:rPr>
              <w:t>金额（元）</w:t>
            </w:r>
          </w:p>
        </w:tc>
      </w:tr>
      <w:tr w14:paraId="5E53C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960" w:type="dxa"/>
            <w:vAlign w:val="center"/>
          </w:tcPr>
          <w:p w14:paraId="5AB97F40">
            <w:pPr>
              <w:kinsoku w:val="0"/>
              <w:overflowPunct w:val="0"/>
              <w:autoSpaceDE w:val="0"/>
              <w:autoSpaceDN w:val="0"/>
              <w:adjustRightInd w:val="0"/>
              <w:snapToGrid w:val="0"/>
              <w:spacing w:line="360" w:lineRule="auto"/>
              <w:jc w:val="center"/>
              <w:rPr>
                <w:rFonts w:hint="eastAsia" w:ascii="宋体" w:hAnsi="宋体" w:eastAsia="宋体" w:cs="宋体"/>
                <w:bCs/>
                <w:sz w:val="24"/>
                <w:lang w:val="en-US" w:eastAsia="zh-CN"/>
              </w:rPr>
            </w:pPr>
            <w:r>
              <w:rPr>
                <w:rFonts w:hint="eastAsia" w:ascii="宋体" w:hAnsi="宋体" w:eastAsia="宋体" w:cs="宋体"/>
                <w:color w:val="000000" w:themeColor="text1"/>
                <w:sz w:val="24"/>
                <w14:textFill>
                  <w14:solidFill>
                    <w14:schemeClr w14:val="tx1"/>
                  </w14:solidFill>
                </w14:textFill>
              </w:rPr>
              <w:t>1</w:t>
            </w:r>
            <w:r>
              <w:rPr>
                <w:rFonts w:hint="eastAsia" w:ascii="宋体" w:hAnsi="宋体" w:eastAsia="宋体" w:cs="宋体"/>
                <w:color w:val="000000" w:themeColor="text1"/>
                <w:sz w:val="24"/>
                <w:lang w:val="en-US" w:eastAsia="zh-CN"/>
                <w14:textFill>
                  <w14:solidFill>
                    <w14:schemeClr w14:val="tx1"/>
                  </w14:solidFill>
                </w14:textFill>
              </w:rPr>
              <w:t>-1</w:t>
            </w:r>
          </w:p>
        </w:tc>
        <w:tc>
          <w:tcPr>
            <w:tcW w:w="3976" w:type="dxa"/>
            <w:vAlign w:val="center"/>
          </w:tcPr>
          <w:p w14:paraId="577E3D91">
            <w:pPr>
              <w:kinsoku w:val="0"/>
              <w:overflowPunct w:val="0"/>
              <w:autoSpaceDE w:val="0"/>
              <w:autoSpaceDN w:val="0"/>
              <w:adjustRightInd w:val="0"/>
              <w:snapToGrid w:val="0"/>
              <w:spacing w:line="360" w:lineRule="auto"/>
              <w:jc w:val="center"/>
              <w:textAlignment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福州职业技术学院数据中心机房设备维护采购项目</w:t>
            </w:r>
          </w:p>
        </w:tc>
        <w:tc>
          <w:tcPr>
            <w:tcW w:w="936" w:type="dxa"/>
            <w:vAlign w:val="center"/>
          </w:tcPr>
          <w:p w14:paraId="3728CA8D">
            <w:pPr>
              <w:kinsoku w:val="0"/>
              <w:overflowPunct w:val="0"/>
              <w:autoSpaceDE w:val="0"/>
              <w:autoSpaceDN w:val="0"/>
              <w:adjustRightInd w:val="0"/>
              <w:snapToGrid w:val="0"/>
              <w:spacing w:line="360" w:lineRule="auto"/>
              <w:jc w:val="center"/>
              <w:textAlignment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w:t>
            </w:r>
          </w:p>
        </w:tc>
        <w:tc>
          <w:tcPr>
            <w:tcW w:w="990" w:type="dxa"/>
            <w:vAlign w:val="center"/>
          </w:tcPr>
          <w:p w14:paraId="7AD9901C">
            <w:pPr>
              <w:kinsoku w:val="0"/>
              <w:overflowPunct w:val="0"/>
              <w:autoSpaceDE w:val="0"/>
              <w:autoSpaceDN w:val="0"/>
              <w:adjustRightInd w:val="0"/>
              <w:snapToGrid w:val="0"/>
              <w:spacing w:line="360" w:lineRule="auto"/>
              <w:jc w:val="center"/>
              <w:textAlignment w:val="center"/>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项</w:t>
            </w:r>
          </w:p>
        </w:tc>
        <w:tc>
          <w:tcPr>
            <w:tcW w:w="1573" w:type="dxa"/>
            <w:vAlign w:val="center"/>
          </w:tcPr>
          <w:p w14:paraId="74519854">
            <w:pPr>
              <w:kinsoku w:val="0"/>
              <w:overflowPunct w:val="0"/>
              <w:autoSpaceDE w:val="0"/>
              <w:autoSpaceDN w:val="0"/>
              <w:adjustRightInd w:val="0"/>
              <w:snapToGrid w:val="0"/>
              <w:spacing w:line="360" w:lineRule="auto"/>
              <w:jc w:val="center"/>
              <w:textAlignment w:val="center"/>
              <w:rPr>
                <w:rFonts w:hint="eastAsia" w:ascii="宋体" w:hAnsi="宋体" w:eastAsia="宋体" w:cs="宋体"/>
                <w:color w:val="000000" w:themeColor="text1"/>
                <w:sz w:val="24"/>
                <w14:textFill>
                  <w14:solidFill>
                    <w14:schemeClr w14:val="tx1"/>
                  </w14:solidFill>
                </w14:textFill>
              </w:rPr>
            </w:pPr>
            <w:r>
              <w:rPr>
                <w:rFonts w:hint="eastAsia" w:ascii="仿宋" w:hAnsi="仿宋" w:eastAsia="仿宋" w:cs="仿宋"/>
                <w:color w:val="auto"/>
                <w:sz w:val="24"/>
                <w:szCs w:val="24"/>
                <w:highlight w:val="none"/>
                <w:lang w:val="en-US" w:eastAsia="zh-CN"/>
              </w:rPr>
              <w:t>93800</w:t>
            </w:r>
          </w:p>
        </w:tc>
        <w:tc>
          <w:tcPr>
            <w:tcW w:w="1504" w:type="dxa"/>
            <w:vAlign w:val="center"/>
          </w:tcPr>
          <w:p w14:paraId="4C0F84E6">
            <w:pPr>
              <w:kinsoku w:val="0"/>
              <w:overflowPunct w:val="0"/>
              <w:autoSpaceDE w:val="0"/>
              <w:autoSpaceDN w:val="0"/>
              <w:adjustRightInd w:val="0"/>
              <w:snapToGrid w:val="0"/>
              <w:spacing w:line="360" w:lineRule="auto"/>
              <w:jc w:val="center"/>
              <w:textAlignment w:val="center"/>
              <w:rPr>
                <w:rFonts w:hint="eastAsia" w:ascii="宋体" w:hAnsi="宋体" w:eastAsia="宋体" w:cs="宋体"/>
                <w:color w:val="000000" w:themeColor="text1"/>
                <w:sz w:val="24"/>
                <w14:textFill>
                  <w14:solidFill>
                    <w14:schemeClr w14:val="tx1"/>
                  </w14:solidFill>
                </w14:textFill>
              </w:rPr>
            </w:pPr>
            <w:r>
              <w:rPr>
                <w:rFonts w:hint="eastAsia" w:ascii="仿宋" w:hAnsi="仿宋" w:eastAsia="仿宋" w:cs="仿宋"/>
                <w:color w:val="auto"/>
                <w:sz w:val="24"/>
                <w:szCs w:val="24"/>
                <w:highlight w:val="none"/>
                <w:lang w:val="en-US" w:eastAsia="zh-CN"/>
              </w:rPr>
              <w:t>93800</w:t>
            </w:r>
          </w:p>
        </w:tc>
      </w:tr>
      <w:tr w14:paraId="171CA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8435" w:type="dxa"/>
            <w:gridSpan w:val="5"/>
            <w:vAlign w:val="center"/>
          </w:tcPr>
          <w:p w14:paraId="1EC829CF">
            <w:pPr>
              <w:kinsoku w:val="0"/>
              <w:overflowPunct w:val="0"/>
              <w:autoSpaceDE w:val="0"/>
              <w:autoSpaceDN w:val="0"/>
              <w:adjustRightInd w:val="0"/>
              <w:snapToGrid w:val="0"/>
              <w:spacing w:line="360" w:lineRule="auto"/>
              <w:jc w:val="center"/>
              <w:rPr>
                <w:rFonts w:hint="eastAsia" w:ascii="宋体" w:hAnsi="宋体" w:eastAsia="宋体" w:cs="宋体"/>
                <w:bCs/>
                <w:sz w:val="24"/>
              </w:rPr>
            </w:pPr>
            <w:r>
              <w:rPr>
                <w:rFonts w:hint="eastAsia" w:ascii="宋体" w:hAnsi="宋体" w:eastAsia="宋体" w:cs="宋体"/>
                <w:color w:val="000000" w:themeColor="text1"/>
                <w:sz w:val="24"/>
                <w14:textFill>
                  <w14:solidFill>
                    <w14:schemeClr w14:val="tx1"/>
                  </w14:solidFill>
                </w14:textFill>
              </w:rPr>
              <w:t>合  计</w:t>
            </w:r>
          </w:p>
        </w:tc>
        <w:tc>
          <w:tcPr>
            <w:tcW w:w="1504" w:type="dxa"/>
            <w:vAlign w:val="center"/>
          </w:tcPr>
          <w:p w14:paraId="01C5B875">
            <w:pPr>
              <w:kinsoku w:val="0"/>
              <w:overflowPunct w:val="0"/>
              <w:autoSpaceDE w:val="0"/>
              <w:autoSpaceDN w:val="0"/>
              <w:adjustRightInd w:val="0"/>
              <w:snapToGrid w:val="0"/>
              <w:spacing w:line="360" w:lineRule="auto"/>
              <w:jc w:val="center"/>
              <w:rPr>
                <w:rFonts w:hint="eastAsia" w:ascii="宋体" w:hAnsi="宋体" w:eastAsia="宋体" w:cs="宋体"/>
                <w:bCs/>
                <w:sz w:val="24"/>
              </w:rPr>
            </w:pPr>
            <w:r>
              <w:rPr>
                <w:rFonts w:hint="eastAsia" w:ascii="宋体" w:hAnsi="宋体" w:eastAsia="宋体" w:cs="宋体"/>
                <w:bCs/>
                <w:sz w:val="24"/>
              </w:rPr>
              <w:t>93800</w:t>
            </w:r>
          </w:p>
        </w:tc>
      </w:tr>
    </w:tbl>
    <w:p w14:paraId="0DA3451E">
      <w:pPr>
        <w:kinsoku w:val="0"/>
        <w:overflowPunct w:val="0"/>
        <w:autoSpaceDE w:val="0"/>
        <w:autoSpaceDN w:val="0"/>
        <w:adjustRightInd w:val="0"/>
        <w:snapToGrid w:val="0"/>
        <w:spacing w:before="120" w:after="120" w:line="360" w:lineRule="auto"/>
        <w:ind w:left="0" w:firstLine="560" w:firstLineChars="200"/>
        <w:jc w:val="left"/>
        <w:outlineLvl w:val="9"/>
        <w:rPr>
          <w:rFonts w:hint="eastAsia" w:ascii="宋体" w:hAnsi="宋体" w:eastAsia="宋体" w:cs="宋体"/>
          <w:b w:val="0"/>
          <w:bCs w:val="0"/>
          <w:color w:val="auto"/>
          <w:sz w:val="24"/>
          <w:szCs w:val="24"/>
          <w:lang w:eastAsia="zh-CN"/>
        </w:rPr>
      </w:pPr>
      <w:r>
        <w:rPr>
          <w:rFonts w:hint="eastAsia" w:ascii="宋体" w:hAnsi="宋体" w:eastAsia="宋体" w:cs="宋体"/>
          <w:b/>
          <w:bCs/>
          <w:color w:val="auto"/>
          <w:sz w:val="28"/>
          <w:szCs w:val="28"/>
          <w:lang w:val="en-US" w:eastAsia="zh-CN"/>
        </w:rPr>
        <w:t xml:space="preserve"> 2、服务</w:t>
      </w:r>
      <w:r>
        <w:rPr>
          <w:rFonts w:hint="eastAsia" w:ascii="宋体" w:hAnsi="宋体" w:eastAsia="宋体" w:cs="宋体"/>
          <w:b/>
          <w:bCs/>
          <w:color w:val="auto"/>
          <w:sz w:val="28"/>
          <w:szCs w:val="28"/>
        </w:rPr>
        <w:t>要求</w:t>
      </w:r>
      <w:r>
        <w:rPr>
          <w:rFonts w:hint="eastAsia" w:ascii="宋体" w:hAnsi="宋体" w:eastAsia="宋体" w:cs="宋体"/>
          <w:b w:val="0"/>
          <w:bCs w:val="0"/>
          <w:color w:val="auto"/>
          <w:sz w:val="24"/>
          <w:szCs w:val="24"/>
          <w:lang w:val="en-US" w:eastAsia="zh-CN"/>
        </w:rPr>
        <w:t xml:space="preserve"> </w:t>
      </w:r>
    </w:p>
    <w:p w14:paraId="0D0AB637">
      <w:pPr>
        <w:kinsoku w:val="0"/>
        <w:overflowPunct w:val="0"/>
        <w:autoSpaceDE w:val="0"/>
        <w:autoSpaceDN w:val="0"/>
        <w:adjustRightInd w:val="0"/>
        <w:snapToGrid w:val="0"/>
        <w:spacing w:before="120" w:after="120" w:line="360" w:lineRule="auto"/>
        <w:ind w:left="0"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针对机房</w:t>
      </w:r>
      <w:r>
        <w:rPr>
          <w:rFonts w:hint="eastAsia" w:ascii="宋体" w:hAnsi="宋体" w:eastAsia="宋体" w:cs="宋体"/>
          <w:color w:val="auto"/>
          <w:sz w:val="24"/>
          <w:szCs w:val="24"/>
          <w:lang w:val="en-US" w:eastAsia="zh-CN"/>
        </w:rPr>
        <w:t>现存</w:t>
      </w:r>
      <w:r>
        <w:rPr>
          <w:rFonts w:hint="eastAsia" w:ascii="宋体" w:hAnsi="宋体" w:eastAsia="宋体" w:cs="宋体"/>
          <w:color w:val="auto"/>
          <w:sz w:val="24"/>
          <w:szCs w:val="24"/>
        </w:rPr>
        <w:t>核心故障，开展专业化整改，严格遵循数据中心运维规范、消防验收标准、供配电安全标准，确保整改后各项系统恢复正常运行，消除即时风险。</w:t>
      </w:r>
      <w:r>
        <w:rPr>
          <w:rFonts w:hint="eastAsia" w:ascii="宋体" w:hAnsi="宋体" w:eastAsia="宋体" w:cs="宋体"/>
          <w:color w:val="auto"/>
          <w:sz w:val="24"/>
          <w:szCs w:val="24"/>
          <w:lang w:val="en-US" w:eastAsia="zh-CN"/>
        </w:rPr>
        <w:t>并提供一年运维服务。</w:t>
      </w:r>
    </w:p>
    <w:p w14:paraId="6042E3A1">
      <w:pPr>
        <w:kinsoku w:val="0"/>
        <w:overflowPunct w:val="0"/>
        <w:autoSpaceDE w:val="0"/>
        <w:autoSpaceDN w:val="0"/>
        <w:adjustRightInd w:val="0"/>
        <w:snapToGrid w:val="0"/>
        <w:spacing w:before="320" w:after="120" w:line="360" w:lineRule="auto"/>
        <w:ind w:left="0" w:firstLine="480" w:firstLineChars="200"/>
        <w:jc w:val="left"/>
        <w:outlineLvl w:val="9"/>
        <w:rPr>
          <w:rFonts w:hint="eastAsia" w:ascii="宋体" w:hAnsi="宋体" w:eastAsia="宋体" w:cs="宋体"/>
          <w:b w:val="0"/>
          <w:bCs/>
          <w:color w:val="auto"/>
          <w:sz w:val="24"/>
          <w:szCs w:val="24"/>
        </w:rPr>
      </w:pPr>
      <w:bookmarkStart w:id="4" w:name="_Toc4509"/>
      <w:bookmarkStart w:id="5" w:name="heading_5"/>
      <w:r>
        <w:rPr>
          <w:rFonts w:hint="eastAsia" w:ascii="宋体" w:hAnsi="宋体" w:eastAsia="宋体" w:cs="宋体"/>
          <w:b w:val="0"/>
          <w:bCs/>
          <w:color w:val="auto"/>
          <w:sz w:val="24"/>
          <w:szCs w:val="24"/>
          <w:lang w:val="en-US" w:eastAsia="zh-CN"/>
        </w:rPr>
        <w:t>2.1</w:t>
      </w:r>
      <w:r>
        <w:rPr>
          <w:rFonts w:hint="eastAsia" w:ascii="宋体" w:hAnsi="宋体" w:eastAsia="宋体" w:cs="宋体"/>
          <w:b w:val="0"/>
          <w:bCs/>
          <w:color w:val="auto"/>
          <w:sz w:val="24"/>
          <w:szCs w:val="24"/>
        </w:rPr>
        <w:t xml:space="preserve"> 消防气体灭火系统整改</w:t>
      </w:r>
      <w:bookmarkEnd w:id="4"/>
      <w:bookmarkEnd w:id="5"/>
    </w:p>
    <w:p w14:paraId="1687207A">
      <w:pPr>
        <w:numPr>
          <w:ilvl w:val="0"/>
          <w:numId w:val="2"/>
        </w:numPr>
        <w:spacing w:before="120" w:after="120" w:line="360" w:lineRule="auto"/>
        <w:ind w:left="420" w:leftChars="0" w:hanging="42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消防系统年度全面维保作业</w:t>
      </w:r>
    </w:p>
    <w:p w14:paraId="50E86E75">
      <w:pPr>
        <w:spacing w:before="120" w:after="120" w:line="360" w:lineRule="auto"/>
        <w:ind w:lef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展常态化年度消防设施维保检测工作，对七氟丙烷灭火系统全配套设备进行精细化排查、调试与检修。重点对灭火控制器、烟温感探测器、声光报警器、电磁阀、启动装置、压力表等核心组件进行功能校验、工况检查与线路排查，全面清理设备故障、线路隐患，调试系统联动逻辑，确保设备工况正常、线路通畅，保障灭火系统自动联动、手动启动等核心功能精准可靠。</w:t>
      </w:r>
    </w:p>
    <w:p w14:paraId="106D9D03">
      <w:pPr>
        <w:spacing w:before="120" w:after="120" w:line="360" w:lineRule="auto"/>
        <w:ind w:lef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维保作业单位委托具备严格具备《消防技术服务机构从业条件》规定的消防设施维护保养检测资质，可通过应急管理部“社会消防技术服务信息系统”官方平台核验资质，服务范围完整覆盖消防设施维护保养检测业务。服务团队配置齐全，配备不少于2名注册消防工程师（含至少1名一级注册消防工程师）及6名专业消防设施操作员，所有作业人员均持证上岗，杜绝无资质、物业安防类非专业人员违规作业，保障维保工作标准化、规范化。</w:t>
      </w:r>
    </w:p>
    <w:p w14:paraId="6106BC4E">
      <w:pPr>
        <w:numPr>
          <w:ilvl w:val="0"/>
          <w:numId w:val="2"/>
        </w:numPr>
        <w:spacing w:before="120" w:after="120" w:line="360" w:lineRule="auto"/>
        <w:ind w:left="420" w:leftChars="0" w:hanging="42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灭火钢瓶专项检测与更新充装作业</w:t>
      </w:r>
    </w:p>
    <w:p w14:paraId="0F809268">
      <w:pPr>
        <w:spacing w:before="120" w:after="120" w:line="360" w:lineRule="auto"/>
        <w:ind w:lef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针对七氟丙烷储瓶特种设备属性，严格按照3年/5年专项检测周期要求，对项目8套灭火装置配套钢瓶逐一开展拆卸送检作业。通过专业水压试验、压力检测、密封性检测等专项工序，全面筛查压力不足、密封失效、超期未检、工况不达标的问题钢瓶，对合格钢瓶进行专业药剂充装、加压修复，对破损、老化、超期不合格钢瓶统一更换合规全新钢瓶，从根源保障钢瓶特种设备运行安全。</w:t>
      </w:r>
    </w:p>
    <w:p w14:paraId="4D7A3922">
      <w:pPr>
        <w:spacing w:before="120" w:after="120" w:line="360" w:lineRule="auto"/>
        <w:ind w:lef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钢瓶检测、充装作业区别于常规消防维保，委托具备特种设备专项检测资质的专业机构实施，机构持有市场监督管理局颁发的《特种设备检验检测机构核准证》，核准项目明确包含PD1（无缝气瓶）、PD2（焊接气瓶）检测资质，完全适配七氟丙烷储瓶检测作业需求。同步配套核查机构《气瓶充装许可证》，确保钢瓶检测、药剂充装、加压修复全流程合规，杜绝普通消防维保单位无资质开展钢瓶拆解、检测、充装等违规作业。</w:t>
      </w:r>
    </w:p>
    <w:p w14:paraId="15DE62CA">
      <w:pPr>
        <w:numPr>
          <w:ilvl w:val="0"/>
          <w:numId w:val="2"/>
        </w:numPr>
        <w:spacing w:before="120" w:after="120" w:line="360" w:lineRule="auto"/>
        <w:ind w:left="420" w:leftChars="0" w:hanging="42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成果输出与合规备案</w:t>
      </w:r>
    </w:p>
    <w:p w14:paraId="2F0140C0">
      <w:pPr>
        <w:spacing w:before="120" w:after="120" w:line="360" w:lineRule="auto"/>
        <w:ind w:lef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全部检修、检测、维保工作完成后，由资质机构出具正规、有效的消防设施检测报告及钢瓶专项检测证明材料，同步完成消防安全合规备案工作。全面确保项目七氟丙烷灭火系统各项指标符合机房消防安全管理标准，系统状态完好、随时可投入应急启用，完全满足消防验收、日常督查及安全生产合规要求。</w:t>
      </w:r>
    </w:p>
    <w:p w14:paraId="4E3B1806">
      <w:pPr>
        <w:spacing w:before="320" w:after="120" w:line="360" w:lineRule="auto"/>
        <w:ind w:left="0" w:firstLine="480" w:firstLineChars="200"/>
        <w:jc w:val="left"/>
        <w:outlineLvl w:val="9"/>
        <w:rPr>
          <w:rFonts w:hint="eastAsia" w:ascii="宋体" w:hAnsi="宋体" w:eastAsia="宋体" w:cs="宋体"/>
          <w:b w:val="0"/>
          <w:bCs/>
          <w:color w:val="auto"/>
          <w:sz w:val="24"/>
          <w:szCs w:val="24"/>
          <w:lang w:val="en-US" w:eastAsia="zh-CN"/>
        </w:rPr>
      </w:pPr>
      <w:bookmarkStart w:id="6" w:name="_Toc10275"/>
      <w:bookmarkStart w:id="7" w:name="heading_6"/>
      <w:r>
        <w:rPr>
          <w:rFonts w:hint="eastAsia" w:ascii="宋体" w:hAnsi="宋体" w:eastAsia="宋体" w:cs="宋体"/>
          <w:b w:val="0"/>
          <w:bCs/>
          <w:color w:val="auto"/>
          <w:sz w:val="24"/>
          <w:szCs w:val="24"/>
          <w:lang w:val="en-US" w:eastAsia="zh-CN"/>
        </w:rPr>
        <w:t>2.2 制冷系统全面检修</w:t>
      </w:r>
      <w:bookmarkEnd w:id="6"/>
      <w:bookmarkEnd w:id="7"/>
    </w:p>
    <w:p w14:paraId="7B8DDD93">
      <w:pPr>
        <w:spacing w:before="120" w:after="120" w:line="360" w:lineRule="auto"/>
        <w:ind w:left="0"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针对空调类故障分设备精准处置：全面检测供电线路、压缩机、风机、控制主板，排查短路、漏电、部件损坏问题，完成维修或核心部件更换，恢复正常使用；对全部柜式空调、列间精密空调，开展深度拆机清理，清除蒸发器、冷凝器、过滤网、风道内积尘与杂物，更换老化密封件、冷媒；维修列间空调故障加温罐，调试温控系统、告警系统，消除故障告警；校准空调温湿度参数，优化运行模式，恢复制冷、制热、除湿全功能，提升制冷效率，降低能耗。</w:t>
      </w:r>
    </w:p>
    <w:p w14:paraId="1DD73A61">
      <w:pPr>
        <w:numPr>
          <w:ilvl w:val="-1"/>
          <w:numId w:val="0"/>
        </w:numPr>
        <w:spacing w:before="320" w:after="120" w:line="360" w:lineRule="auto"/>
        <w:ind w:left="0" w:firstLine="240" w:firstLineChars="100"/>
        <w:jc w:val="left"/>
        <w:outlineLvl w:val="9"/>
        <w:rPr>
          <w:rFonts w:hint="eastAsia" w:ascii="宋体" w:hAnsi="宋体" w:eastAsia="宋体" w:cs="宋体"/>
          <w:b w:val="0"/>
          <w:bCs/>
          <w:color w:val="auto"/>
          <w:sz w:val="24"/>
          <w:szCs w:val="24"/>
          <w:lang w:val="en-US" w:eastAsia="zh-CN"/>
        </w:rPr>
      </w:pPr>
      <w:bookmarkStart w:id="8" w:name="_Toc18512"/>
      <w:bookmarkStart w:id="9" w:name="heading_7"/>
      <w:r>
        <w:rPr>
          <w:rFonts w:hint="eastAsia" w:ascii="宋体" w:hAnsi="宋体" w:eastAsia="宋体" w:cs="宋体"/>
          <w:b w:val="0"/>
          <w:bCs/>
          <w:color w:val="auto"/>
          <w:sz w:val="24"/>
          <w:szCs w:val="24"/>
          <w:lang w:val="en-US" w:eastAsia="zh-CN"/>
        </w:rPr>
        <w:t xml:space="preserve"> 2.3 模块化冷通道密闭系统修复</w:t>
      </w:r>
      <w:bookmarkEnd w:id="8"/>
      <w:bookmarkEnd w:id="9"/>
    </w:p>
    <w:p w14:paraId="4DB8707C">
      <w:pPr>
        <w:spacing w:before="120" w:after="120" w:line="360" w:lineRule="auto"/>
        <w:ind w:left="0"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对3组模块化冷通道进行全面故障排查，重点检修天窗控制电机、联动控制器、感应装置、传动结构与线路，修复损坏部件，更换老化电机与线路；调试天窗自动联动、手动关闭功能，确保全部天窗可正常闭合，恢复冷通道密闭结构，阻断冷热空气混流，配合行间空调实现精准制冷，优化机房气流组织，降低设备过热风险。</w:t>
      </w:r>
    </w:p>
    <w:p w14:paraId="5DD365BA">
      <w:pPr>
        <w:spacing w:before="320" w:after="120" w:line="360" w:lineRule="auto"/>
        <w:ind w:left="0" w:firstLine="480" w:firstLineChars="200"/>
        <w:jc w:val="left"/>
        <w:outlineLvl w:val="9"/>
        <w:rPr>
          <w:rFonts w:hint="eastAsia" w:ascii="宋体" w:hAnsi="宋体" w:eastAsia="宋体" w:cs="宋体"/>
          <w:b w:val="0"/>
          <w:bCs/>
          <w:color w:val="auto"/>
          <w:sz w:val="24"/>
          <w:szCs w:val="24"/>
          <w:lang w:val="en-US" w:eastAsia="zh-CN"/>
        </w:rPr>
      </w:pPr>
      <w:bookmarkStart w:id="10" w:name="heading_8"/>
      <w:bookmarkStart w:id="11" w:name="_Toc17470"/>
      <w:r>
        <w:rPr>
          <w:rFonts w:hint="eastAsia" w:ascii="宋体" w:hAnsi="宋体" w:eastAsia="宋体" w:cs="宋体"/>
          <w:b w:val="0"/>
          <w:bCs/>
          <w:color w:val="auto"/>
          <w:sz w:val="24"/>
          <w:szCs w:val="24"/>
          <w:lang w:val="en-US" w:eastAsia="zh-CN"/>
        </w:rPr>
        <w:t>2.4 供配电三相不均衡整改</w:t>
      </w:r>
      <w:bookmarkEnd w:id="10"/>
      <w:bookmarkEnd w:id="11"/>
    </w:p>
    <w:p w14:paraId="06697E9B">
      <w:pPr>
        <w:spacing w:before="120" w:after="120" w:line="360" w:lineRule="auto"/>
        <w:ind w:left="0"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安排专业配电工程师，</w:t>
      </w:r>
      <w:r>
        <w:rPr>
          <w:rFonts w:hint="eastAsia" w:ascii="宋体" w:hAnsi="宋体" w:eastAsia="宋体" w:cs="宋体"/>
          <w:color w:val="auto"/>
          <w:sz w:val="24"/>
          <w:szCs w:val="24"/>
        </w:rPr>
        <w:t>现场检测3套精密配电柜三相负荷数据，梳理机房内所有设备供电回路、负荷分布，制定三相负荷均衡调整方案；重新规划供电回路接线，分流不均衡负荷，更换老化配电配件、接线端子；检测接地电阻、漏电保护、过流保护功能，确保供配电系统三相平衡达标，供电稳定无波动，消除线路过载、发热、短路风险。</w:t>
      </w:r>
    </w:p>
    <w:p w14:paraId="19D6A803">
      <w:pPr>
        <w:spacing w:before="320" w:after="120" w:line="360" w:lineRule="auto"/>
        <w:ind w:left="0" w:firstLine="480" w:firstLineChars="200"/>
        <w:jc w:val="left"/>
        <w:outlineLvl w:val="9"/>
        <w:rPr>
          <w:rFonts w:hint="eastAsia" w:ascii="宋体" w:hAnsi="宋体" w:eastAsia="宋体" w:cs="宋体"/>
          <w:b w:val="0"/>
          <w:bCs/>
          <w:color w:val="auto"/>
          <w:sz w:val="24"/>
          <w:szCs w:val="24"/>
          <w:lang w:val="en-US" w:eastAsia="zh-CN"/>
        </w:rPr>
      </w:pPr>
      <w:bookmarkStart w:id="12" w:name="heading_9"/>
      <w:bookmarkStart w:id="13" w:name="_Toc25604"/>
      <w:r>
        <w:rPr>
          <w:rFonts w:hint="eastAsia" w:ascii="宋体" w:hAnsi="宋体" w:eastAsia="宋体" w:cs="宋体"/>
          <w:b w:val="0"/>
          <w:bCs/>
          <w:color w:val="auto"/>
          <w:sz w:val="24"/>
          <w:szCs w:val="24"/>
          <w:lang w:val="en-US" w:eastAsia="zh-CN"/>
        </w:rPr>
        <w:t>2.5 动力环境监测系统升级</w:t>
      </w:r>
      <w:bookmarkEnd w:id="12"/>
      <w:bookmarkEnd w:id="13"/>
      <w:r>
        <w:rPr>
          <w:rFonts w:hint="eastAsia" w:ascii="宋体" w:hAnsi="宋体" w:eastAsia="宋体" w:cs="宋体"/>
          <w:b w:val="0"/>
          <w:bCs/>
          <w:color w:val="auto"/>
          <w:sz w:val="24"/>
          <w:szCs w:val="24"/>
          <w:lang w:val="en-US" w:eastAsia="zh-CN"/>
        </w:rPr>
        <w:t>或修复</w:t>
      </w:r>
    </w:p>
    <w:p w14:paraId="44425EBA">
      <w:pPr>
        <w:spacing w:before="120" w:after="120" w:line="360" w:lineRule="auto"/>
        <w:ind w:lef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rPr>
        <w:t>废弃</w:t>
      </w:r>
      <w:r>
        <w:rPr>
          <w:rFonts w:hint="eastAsia" w:ascii="宋体" w:hAnsi="宋体" w:eastAsia="宋体" w:cs="宋体"/>
          <w:color w:val="auto"/>
          <w:sz w:val="24"/>
          <w:szCs w:val="24"/>
          <w:lang w:val="en-US" w:eastAsia="zh-CN"/>
        </w:rPr>
        <w:t>或利旧</w:t>
      </w:r>
      <w:r>
        <w:rPr>
          <w:rFonts w:hint="eastAsia" w:ascii="宋体" w:hAnsi="宋体" w:eastAsia="宋体" w:cs="宋体"/>
          <w:color w:val="auto"/>
          <w:sz w:val="24"/>
          <w:szCs w:val="24"/>
        </w:rPr>
        <w:t>原有失效监测系统，搭建适配校园机房的新一代动力环境监控系统，实现对机房供配电、UPS、精密空调、温湿度、消防、漏水、烟感、门禁、鼠害预警等全维度实时监测；配置可视化监控大屏与移动端告警功能，故障发生时第一时间通过短信、声光推送告警信息，实现故障提前预警、实时监控、远程管控，变被动抢修为主动预判，填补运维监测。</w:t>
      </w:r>
      <w:r>
        <w:rPr>
          <w:rFonts w:hint="eastAsia" w:ascii="宋体" w:hAnsi="宋体" w:eastAsia="宋体" w:cs="宋体"/>
          <w:color w:val="auto"/>
          <w:sz w:val="24"/>
          <w:szCs w:val="24"/>
          <w:highlight w:val="none"/>
        </w:rPr>
        <w:t>优化升级机房门禁管理体系，实现门禁设备联网集中管控，可统一记录、查询门禁出入日志，规范机房人员进出管理，提升机房安防管控精细化、智能化水平。</w:t>
      </w:r>
    </w:p>
    <w:p w14:paraId="221DE62C">
      <w:pPr>
        <w:spacing w:before="320" w:after="120" w:line="360" w:lineRule="auto"/>
        <w:ind w:left="0" w:firstLine="480" w:firstLineChars="200"/>
        <w:jc w:val="left"/>
        <w:outlineLvl w:val="9"/>
        <w:rPr>
          <w:rFonts w:hint="eastAsia" w:ascii="宋体" w:hAnsi="宋体" w:eastAsia="宋体" w:cs="宋体"/>
          <w:b w:val="0"/>
          <w:bCs/>
          <w:color w:val="auto"/>
          <w:sz w:val="24"/>
          <w:szCs w:val="24"/>
          <w:lang w:val="en-US" w:eastAsia="zh-CN"/>
        </w:rPr>
      </w:pPr>
      <w:bookmarkStart w:id="14" w:name="heading_10"/>
      <w:bookmarkStart w:id="15" w:name="_Toc3890"/>
      <w:r>
        <w:rPr>
          <w:rFonts w:hint="eastAsia" w:ascii="宋体" w:hAnsi="宋体" w:eastAsia="宋体" w:cs="宋体"/>
          <w:b w:val="0"/>
          <w:bCs/>
          <w:color w:val="auto"/>
          <w:sz w:val="24"/>
          <w:szCs w:val="24"/>
          <w:lang w:val="en-US" w:eastAsia="zh-CN"/>
        </w:rPr>
        <w:t>2.6 鼠害防控与机房物理环境整治</w:t>
      </w:r>
      <w:bookmarkEnd w:id="14"/>
      <w:bookmarkEnd w:id="15"/>
    </w:p>
    <w:p w14:paraId="28383C30">
      <w:pPr>
        <w:spacing w:before="120" w:after="120" w:line="360" w:lineRule="auto"/>
        <w:ind w:left="0"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全面排查机房地板下、线缆沟、门窗缝隙等鼠害入侵通道，封堵全部漏洞，做好机房密闭性防护；在机房内部、地板下、配电房等区域布置专业物理防鼠、灭鼠装置，定期巡查更换；深度清理地板下灰尘、杂物、线缆杂乱区域，整理机房强弱电线缆，做好线缆防护套管，杜绝鼠害啃咬隐患，同时改善机房内部环境卫生，减少灰尘、潮气侵入。</w:t>
      </w:r>
    </w:p>
    <w:p w14:paraId="1C3180C9">
      <w:pPr>
        <w:spacing w:before="120" w:after="120" w:line="360" w:lineRule="auto"/>
        <w:ind w:left="0"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具体维修清单如下：</w:t>
      </w:r>
    </w:p>
    <w:tbl>
      <w:tblPr>
        <w:tblStyle w:val="2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6"/>
        <w:gridCol w:w="1227"/>
        <w:gridCol w:w="2048"/>
        <w:gridCol w:w="654"/>
        <w:gridCol w:w="750"/>
        <w:gridCol w:w="3781"/>
        <w:gridCol w:w="743"/>
      </w:tblGrid>
      <w:tr w14:paraId="2BBE8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C797D">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机房基础环境设备故障清单</w:t>
            </w:r>
          </w:p>
        </w:tc>
      </w:tr>
      <w:tr w14:paraId="7A52A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70" w:type="pct"/>
            <w:tcBorders>
              <w:top w:val="single" w:color="000000" w:sz="4" w:space="0"/>
              <w:left w:val="single" w:color="000000" w:sz="4" w:space="0"/>
              <w:bottom w:val="single" w:color="000000" w:sz="4" w:space="0"/>
              <w:right w:val="nil"/>
            </w:tcBorders>
            <w:shd w:val="clear" w:color="auto" w:fill="auto"/>
            <w:noWrap/>
            <w:vAlign w:val="center"/>
          </w:tcPr>
          <w:p w14:paraId="41073EF6">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一</w:t>
            </w:r>
          </w:p>
        </w:tc>
        <w:tc>
          <w:tcPr>
            <w:tcW w:w="4629"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93FE0">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机房消防七氟丙炳气体灭火装置系统 </w:t>
            </w:r>
          </w:p>
        </w:tc>
      </w:tr>
      <w:tr w14:paraId="1C64E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70" w:type="pct"/>
            <w:tcBorders>
              <w:top w:val="single" w:color="000000" w:sz="4" w:space="0"/>
              <w:left w:val="single" w:color="000000" w:sz="4" w:space="0"/>
              <w:bottom w:val="single" w:color="000000" w:sz="4" w:space="0"/>
              <w:right w:val="nil"/>
            </w:tcBorders>
            <w:shd w:val="clear" w:color="auto" w:fill="auto"/>
            <w:noWrap/>
            <w:vAlign w:val="center"/>
          </w:tcPr>
          <w:p w14:paraId="4BB8DBCE">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序号</w:t>
            </w:r>
          </w:p>
        </w:tc>
        <w:tc>
          <w:tcPr>
            <w:tcW w:w="6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E2EF7">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名称</w:t>
            </w:r>
          </w:p>
        </w:tc>
        <w:tc>
          <w:tcPr>
            <w:tcW w:w="10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2965D">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型号</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3DDD1">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单位</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B665B">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数量</w:t>
            </w:r>
          </w:p>
        </w:tc>
        <w:tc>
          <w:tcPr>
            <w:tcW w:w="19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C4242">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故障内容</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45CB9">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备注</w:t>
            </w:r>
          </w:p>
        </w:tc>
      </w:tr>
      <w:tr w14:paraId="5B0AA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370" w:type="pct"/>
            <w:tcBorders>
              <w:top w:val="single" w:color="000000" w:sz="4" w:space="0"/>
              <w:left w:val="single" w:color="000000" w:sz="4" w:space="0"/>
              <w:bottom w:val="single" w:color="000000" w:sz="4" w:space="0"/>
              <w:right w:val="nil"/>
            </w:tcBorders>
            <w:shd w:val="clear" w:color="auto" w:fill="auto"/>
            <w:noWrap/>
            <w:vAlign w:val="center"/>
          </w:tcPr>
          <w:p w14:paraId="586033C3">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CDFD5">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主机房</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气体钢瓶</w:t>
            </w:r>
          </w:p>
        </w:tc>
        <w:tc>
          <w:tcPr>
            <w:tcW w:w="10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9867C">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QMP150/2.5</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62FDF">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4B3B2">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w:t>
            </w:r>
          </w:p>
        </w:tc>
        <w:tc>
          <w:tcPr>
            <w:tcW w:w="19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04EB3">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钢瓶检测、更新充装</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04BC0">
            <w:pPr>
              <w:spacing w:line="240" w:lineRule="auto"/>
              <w:rPr>
                <w:rFonts w:hint="eastAsia" w:ascii="宋体" w:hAnsi="宋体" w:eastAsia="宋体" w:cs="宋体"/>
                <w:i w:val="0"/>
                <w:iCs w:val="0"/>
                <w:color w:val="auto"/>
                <w:sz w:val="24"/>
                <w:szCs w:val="24"/>
                <w:u w:val="none"/>
              </w:rPr>
            </w:pPr>
          </w:p>
        </w:tc>
      </w:tr>
      <w:tr w14:paraId="1EA5B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370" w:type="pct"/>
            <w:tcBorders>
              <w:top w:val="single" w:color="000000" w:sz="4" w:space="0"/>
              <w:left w:val="single" w:color="000000" w:sz="4" w:space="0"/>
              <w:bottom w:val="single" w:color="000000" w:sz="4" w:space="0"/>
              <w:right w:val="nil"/>
            </w:tcBorders>
            <w:shd w:val="clear" w:color="auto" w:fill="auto"/>
            <w:noWrap/>
            <w:vAlign w:val="center"/>
          </w:tcPr>
          <w:p w14:paraId="30901AC9">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w:t>
            </w:r>
          </w:p>
        </w:tc>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ABF54">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配电室</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气体钢瓶</w:t>
            </w:r>
          </w:p>
        </w:tc>
        <w:tc>
          <w:tcPr>
            <w:tcW w:w="10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40BB8">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QMP90/2.5</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1F870">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A8659">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19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2A704">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钢瓶检测、更新充装</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56CBB">
            <w:pPr>
              <w:spacing w:line="240" w:lineRule="auto"/>
              <w:rPr>
                <w:rFonts w:hint="eastAsia" w:ascii="宋体" w:hAnsi="宋体" w:eastAsia="宋体" w:cs="宋体"/>
                <w:i w:val="0"/>
                <w:iCs w:val="0"/>
                <w:color w:val="auto"/>
                <w:sz w:val="24"/>
                <w:szCs w:val="24"/>
                <w:u w:val="none"/>
              </w:rPr>
            </w:pPr>
          </w:p>
        </w:tc>
      </w:tr>
      <w:tr w14:paraId="48A9A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370" w:type="pct"/>
            <w:tcBorders>
              <w:top w:val="single" w:color="000000" w:sz="4" w:space="0"/>
              <w:left w:val="single" w:color="000000" w:sz="4" w:space="0"/>
              <w:bottom w:val="single" w:color="000000" w:sz="4" w:space="0"/>
              <w:right w:val="nil"/>
            </w:tcBorders>
            <w:shd w:val="clear" w:color="auto" w:fill="auto"/>
            <w:noWrap/>
            <w:vAlign w:val="center"/>
          </w:tcPr>
          <w:p w14:paraId="40BDBEF3">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w:t>
            </w:r>
          </w:p>
        </w:tc>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88DC0">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蓄电池机房气体钢瓶</w:t>
            </w:r>
          </w:p>
        </w:tc>
        <w:tc>
          <w:tcPr>
            <w:tcW w:w="10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0F943">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QMP90/2.5</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9E896">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27FEF">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19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589CF">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钢瓶检测、更新充装</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92ABE">
            <w:pPr>
              <w:spacing w:line="240" w:lineRule="auto"/>
              <w:rPr>
                <w:rFonts w:hint="eastAsia" w:ascii="宋体" w:hAnsi="宋体" w:eastAsia="宋体" w:cs="宋体"/>
                <w:i w:val="0"/>
                <w:iCs w:val="0"/>
                <w:color w:val="auto"/>
                <w:sz w:val="24"/>
                <w:szCs w:val="24"/>
                <w:u w:val="none"/>
              </w:rPr>
            </w:pPr>
          </w:p>
        </w:tc>
      </w:tr>
      <w:tr w14:paraId="7B4EF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370" w:type="pct"/>
            <w:tcBorders>
              <w:top w:val="single" w:color="000000" w:sz="4" w:space="0"/>
              <w:left w:val="single" w:color="000000" w:sz="4" w:space="0"/>
              <w:bottom w:val="single" w:color="000000" w:sz="4" w:space="0"/>
              <w:right w:val="nil"/>
            </w:tcBorders>
            <w:shd w:val="clear" w:color="auto" w:fill="auto"/>
            <w:noWrap/>
            <w:vAlign w:val="center"/>
          </w:tcPr>
          <w:p w14:paraId="35B7AD4A">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w:t>
            </w:r>
          </w:p>
        </w:tc>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2BC3A">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蓄电池机房气体钢瓶</w:t>
            </w:r>
          </w:p>
        </w:tc>
        <w:tc>
          <w:tcPr>
            <w:tcW w:w="10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6B36B">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QMP70/2.5</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4A7FA">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C3615">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19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64CE8">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钢瓶检测、更新充装</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72A25">
            <w:pPr>
              <w:spacing w:line="240" w:lineRule="auto"/>
              <w:rPr>
                <w:rFonts w:hint="eastAsia" w:ascii="宋体" w:hAnsi="宋体" w:eastAsia="宋体" w:cs="宋体"/>
                <w:i w:val="0"/>
                <w:iCs w:val="0"/>
                <w:color w:val="auto"/>
                <w:sz w:val="24"/>
                <w:szCs w:val="24"/>
                <w:u w:val="none"/>
              </w:rPr>
            </w:pPr>
          </w:p>
        </w:tc>
      </w:tr>
      <w:tr w14:paraId="171B0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0" w:hRule="atLeast"/>
        </w:trPr>
        <w:tc>
          <w:tcPr>
            <w:tcW w:w="370" w:type="pct"/>
            <w:tcBorders>
              <w:top w:val="single" w:color="000000" w:sz="4" w:space="0"/>
              <w:left w:val="single" w:color="000000" w:sz="4" w:space="0"/>
              <w:bottom w:val="single" w:color="000000" w:sz="4" w:space="0"/>
              <w:right w:val="nil"/>
            </w:tcBorders>
            <w:shd w:val="clear" w:color="auto" w:fill="auto"/>
            <w:noWrap/>
            <w:vAlign w:val="center"/>
          </w:tcPr>
          <w:p w14:paraId="1AEB536D">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w:t>
            </w:r>
          </w:p>
        </w:tc>
        <w:tc>
          <w:tcPr>
            <w:tcW w:w="462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9A6BAED">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  对七氟丙烷灭火系统全配套设备进行精细化排查、调试与检修。重点对灭火控制器、烟温感探测器、声光报警器、电磁阀、启动装置、压力表等核心组件进行功能校验、工况检查与线路排查，全面清理设备故障、线路隐患，调试系统联动逻辑，确保设备工况正常、线路通畅，保障灭火系统自动联动、手动启动等核心功能精准可靠；</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 xml:space="preserve">  出具正规、有效的消防设施检测报告及钢瓶专项检测证明材料，同步完成消防安全合规备案工作。 </w:t>
            </w:r>
          </w:p>
        </w:tc>
      </w:tr>
      <w:tr w14:paraId="31AC5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370" w:type="pct"/>
            <w:tcBorders>
              <w:top w:val="single" w:color="000000" w:sz="4" w:space="0"/>
              <w:left w:val="single" w:color="000000" w:sz="4" w:space="0"/>
              <w:bottom w:val="single" w:color="000000" w:sz="4" w:space="0"/>
              <w:right w:val="nil"/>
            </w:tcBorders>
            <w:shd w:val="clear" w:color="auto" w:fill="auto"/>
            <w:noWrap/>
            <w:vAlign w:val="center"/>
          </w:tcPr>
          <w:p w14:paraId="50EDD435">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二</w:t>
            </w:r>
          </w:p>
        </w:tc>
        <w:tc>
          <w:tcPr>
            <w:tcW w:w="462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FA3278A">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制冷系统修复  </w:t>
            </w:r>
          </w:p>
        </w:tc>
      </w:tr>
      <w:tr w14:paraId="34BA0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70" w:type="pct"/>
            <w:tcBorders>
              <w:top w:val="single" w:color="000000" w:sz="4" w:space="0"/>
              <w:left w:val="single" w:color="000000" w:sz="4" w:space="0"/>
              <w:bottom w:val="single" w:color="000000" w:sz="4" w:space="0"/>
              <w:right w:val="nil"/>
            </w:tcBorders>
            <w:shd w:val="clear" w:color="auto" w:fill="auto"/>
            <w:noWrap/>
            <w:vAlign w:val="center"/>
          </w:tcPr>
          <w:p w14:paraId="6B8F1228">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序号</w:t>
            </w:r>
          </w:p>
        </w:tc>
        <w:tc>
          <w:tcPr>
            <w:tcW w:w="6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320D2">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名称</w:t>
            </w:r>
          </w:p>
        </w:tc>
        <w:tc>
          <w:tcPr>
            <w:tcW w:w="10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B1C1C">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型号</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C0FC2">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单位</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8E8F7">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数量</w:t>
            </w:r>
          </w:p>
        </w:tc>
        <w:tc>
          <w:tcPr>
            <w:tcW w:w="19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9C83E">
            <w:pPr>
              <w:spacing w:line="240" w:lineRule="auto"/>
              <w:rPr>
                <w:rFonts w:hint="eastAsia" w:ascii="宋体" w:hAnsi="宋体" w:eastAsia="宋体" w:cs="宋体"/>
                <w:i w:val="0"/>
                <w:iCs w:val="0"/>
                <w:color w:val="auto"/>
                <w:sz w:val="24"/>
                <w:szCs w:val="24"/>
                <w:u w:val="none"/>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7CEEF">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备注</w:t>
            </w:r>
          </w:p>
        </w:tc>
      </w:tr>
      <w:tr w14:paraId="032F0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370" w:type="pct"/>
            <w:tcBorders>
              <w:top w:val="single" w:color="000000" w:sz="4" w:space="0"/>
              <w:left w:val="single" w:color="000000" w:sz="4" w:space="0"/>
              <w:bottom w:val="single" w:color="000000" w:sz="4" w:space="0"/>
              <w:right w:val="nil"/>
            </w:tcBorders>
            <w:shd w:val="clear" w:color="auto" w:fill="auto"/>
            <w:noWrap/>
            <w:vAlign w:val="center"/>
          </w:tcPr>
          <w:p w14:paraId="4E8E92E6">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7EFF4">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主机房</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柜式制冷终端</w:t>
            </w:r>
          </w:p>
        </w:tc>
        <w:tc>
          <w:tcPr>
            <w:tcW w:w="10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B9800">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格力</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KF-120L(12368S)Ac-2</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10699">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台</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DADDB">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w:t>
            </w:r>
          </w:p>
        </w:tc>
        <w:tc>
          <w:tcPr>
            <w:tcW w:w="19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A001C">
            <w:pPr>
              <w:keepNext w:val="0"/>
              <w:keepLines w:val="0"/>
              <w:widowControl/>
              <w:suppressLineNumbers w:val="0"/>
              <w:spacing w:after="220" w:afterAutospacing="0"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1.报警锁机 ，需排查</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2.全部滤网清洗、外机清洗、压力测量加注制冷剂</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ED4BC">
            <w:pPr>
              <w:spacing w:line="240" w:lineRule="auto"/>
              <w:rPr>
                <w:rFonts w:hint="eastAsia" w:ascii="宋体" w:hAnsi="宋体" w:eastAsia="宋体" w:cs="宋体"/>
                <w:i w:val="0"/>
                <w:iCs w:val="0"/>
                <w:color w:val="auto"/>
                <w:sz w:val="24"/>
                <w:szCs w:val="24"/>
                <w:u w:val="none"/>
              </w:rPr>
            </w:pPr>
          </w:p>
        </w:tc>
      </w:tr>
      <w:tr w14:paraId="4F3D7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370" w:type="pct"/>
            <w:tcBorders>
              <w:top w:val="single" w:color="000000" w:sz="4" w:space="0"/>
              <w:left w:val="single" w:color="000000" w:sz="4" w:space="0"/>
              <w:bottom w:val="single" w:color="000000" w:sz="4" w:space="0"/>
              <w:right w:val="nil"/>
            </w:tcBorders>
            <w:shd w:val="clear" w:color="auto" w:fill="auto"/>
            <w:noWrap/>
            <w:vAlign w:val="center"/>
          </w:tcPr>
          <w:p w14:paraId="59FA5C00">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w:t>
            </w:r>
          </w:p>
        </w:tc>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194C0">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冷通道</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空调1-1</w:t>
            </w:r>
          </w:p>
        </w:tc>
        <w:tc>
          <w:tcPr>
            <w:tcW w:w="10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9C653">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维谛 CR025RA1380S12E10000PV000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03E73">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台</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5DFFF">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19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2882E">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1.排气过热低报警 压缩机锁定，需排查</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2.滤网维护报警 更换</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3.加湿器故障报警更换</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4.高水位报警</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F2E34">
            <w:pPr>
              <w:spacing w:line="240" w:lineRule="auto"/>
              <w:rPr>
                <w:rFonts w:hint="eastAsia" w:ascii="宋体" w:hAnsi="宋体" w:eastAsia="宋体" w:cs="宋体"/>
                <w:i w:val="0"/>
                <w:iCs w:val="0"/>
                <w:color w:val="auto"/>
                <w:sz w:val="24"/>
                <w:szCs w:val="24"/>
                <w:u w:val="none"/>
              </w:rPr>
            </w:pPr>
          </w:p>
        </w:tc>
      </w:tr>
      <w:tr w14:paraId="76035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trPr>
        <w:tc>
          <w:tcPr>
            <w:tcW w:w="370" w:type="pct"/>
            <w:tcBorders>
              <w:top w:val="single" w:color="000000" w:sz="4" w:space="0"/>
              <w:left w:val="single" w:color="000000" w:sz="4" w:space="0"/>
              <w:bottom w:val="single" w:color="000000" w:sz="4" w:space="0"/>
              <w:right w:val="nil"/>
            </w:tcBorders>
            <w:shd w:val="clear" w:color="auto" w:fill="auto"/>
            <w:noWrap/>
            <w:vAlign w:val="center"/>
          </w:tcPr>
          <w:p w14:paraId="54ED84A8">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w:t>
            </w:r>
          </w:p>
        </w:tc>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91ECE">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冷通道</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空调1-2</w:t>
            </w:r>
          </w:p>
        </w:tc>
        <w:tc>
          <w:tcPr>
            <w:tcW w:w="10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D335A">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维谛 CR025RA1380S12E10000PV000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227EF">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台</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898B7">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19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BFF43">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1.滤网维护报警 更换</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2.高水位报警</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3.加湿罐脏堵 清洗或更换</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73E15">
            <w:pPr>
              <w:spacing w:line="240" w:lineRule="auto"/>
              <w:rPr>
                <w:rFonts w:hint="eastAsia" w:ascii="宋体" w:hAnsi="宋体" w:eastAsia="宋体" w:cs="宋体"/>
                <w:i w:val="0"/>
                <w:iCs w:val="0"/>
                <w:color w:val="auto"/>
                <w:sz w:val="24"/>
                <w:szCs w:val="24"/>
                <w:u w:val="none"/>
              </w:rPr>
            </w:pPr>
          </w:p>
        </w:tc>
      </w:tr>
      <w:tr w14:paraId="56C1A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trPr>
        <w:tc>
          <w:tcPr>
            <w:tcW w:w="370" w:type="pct"/>
            <w:tcBorders>
              <w:top w:val="single" w:color="000000" w:sz="4" w:space="0"/>
              <w:left w:val="single" w:color="000000" w:sz="4" w:space="0"/>
              <w:bottom w:val="single" w:color="000000" w:sz="4" w:space="0"/>
              <w:right w:val="nil"/>
            </w:tcBorders>
            <w:shd w:val="clear" w:color="auto" w:fill="auto"/>
            <w:noWrap/>
            <w:vAlign w:val="center"/>
          </w:tcPr>
          <w:p w14:paraId="72816BC2">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w:t>
            </w:r>
          </w:p>
        </w:tc>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191BA">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冷通道</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空调1-3</w:t>
            </w:r>
          </w:p>
        </w:tc>
        <w:tc>
          <w:tcPr>
            <w:tcW w:w="10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900E7">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维谛 CR025RA1380S12E10000PV000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BC601">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台</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AAE85">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19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6C25D">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1.滤网维护报警 更换</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2.加湿器故障报警更换</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89091">
            <w:pPr>
              <w:spacing w:line="240" w:lineRule="auto"/>
              <w:rPr>
                <w:rFonts w:hint="eastAsia" w:ascii="宋体" w:hAnsi="宋体" w:eastAsia="宋体" w:cs="宋体"/>
                <w:i w:val="0"/>
                <w:iCs w:val="0"/>
                <w:color w:val="auto"/>
                <w:sz w:val="24"/>
                <w:szCs w:val="24"/>
                <w:u w:val="none"/>
              </w:rPr>
            </w:pPr>
          </w:p>
        </w:tc>
      </w:tr>
      <w:tr w14:paraId="1B575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370" w:type="pct"/>
            <w:tcBorders>
              <w:top w:val="single" w:color="000000" w:sz="4" w:space="0"/>
              <w:left w:val="single" w:color="000000" w:sz="4" w:space="0"/>
              <w:bottom w:val="single" w:color="000000" w:sz="4" w:space="0"/>
              <w:right w:val="nil"/>
            </w:tcBorders>
            <w:shd w:val="clear" w:color="auto" w:fill="auto"/>
            <w:noWrap/>
            <w:vAlign w:val="center"/>
          </w:tcPr>
          <w:p w14:paraId="66ED355E">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w:t>
            </w:r>
          </w:p>
        </w:tc>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14BD6">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冷通道</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空调2-1</w:t>
            </w:r>
          </w:p>
        </w:tc>
        <w:tc>
          <w:tcPr>
            <w:tcW w:w="10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C0E97">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维谛 CR025RA1380S12E10000PV000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2A096">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台</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03EF3">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19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BC00D">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1.滤网维护报警 更换</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2.高水位报警</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3.加湿罐脏堵 清洗或更换</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84987">
            <w:pPr>
              <w:spacing w:line="240" w:lineRule="auto"/>
              <w:rPr>
                <w:rFonts w:hint="eastAsia" w:ascii="宋体" w:hAnsi="宋体" w:eastAsia="宋体" w:cs="宋体"/>
                <w:i w:val="0"/>
                <w:iCs w:val="0"/>
                <w:color w:val="auto"/>
                <w:sz w:val="24"/>
                <w:szCs w:val="24"/>
                <w:u w:val="none"/>
              </w:rPr>
            </w:pPr>
          </w:p>
        </w:tc>
      </w:tr>
      <w:tr w14:paraId="6F9A8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trPr>
        <w:tc>
          <w:tcPr>
            <w:tcW w:w="370" w:type="pct"/>
            <w:tcBorders>
              <w:top w:val="single" w:color="000000" w:sz="4" w:space="0"/>
              <w:left w:val="single" w:color="000000" w:sz="4" w:space="0"/>
              <w:bottom w:val="single" w:color="000000" w:sz="4" w:space="0"/>
              <w:right w:val="nil"/>
            </w:tcBorders>
            <w:shd w:val="clear" w:color="auto" w:fill="auto"/>
            <w:noWrap/>
            <w:vAlign w:val="center"/>
          </w:tcPr>
          <w:p w14:paraId="10F607AF">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w:t>
            </w:r>
          </w:p>
        </w:tc>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F351C">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冷通道</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空调2-2</w:t>
            </w:r>
          </w:p>
        </w:tc>
        <w:tc>
          <w:tcPr>
            <w:tcW w:w="10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D66FD">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维谛 CR025RA1380S12E10000PV000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659EE">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台</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54DAE">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19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2B349">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1.滤网维护报警 更换</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2.高水位报警</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3.加湿罐脏堵 清洗或更换</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DBF62">
            <w:pPr>
              <w:spacing w:line="240" w:lineRule="auto"/>
              <w:rPr>
                <w:rFonts w:hint="eastAsia" w:ascii="宋体" w:hAnsi="宋体" w:eastAsia="宋体" w:cs="宋体"/>
                <w:i w:val="0"/>
                <w:iCs w:val="0"/>
                <w:color w:val="auto"/>
                <w:sz w:val="24"/>
                <w:szCs w:val="24"/>
                <w:u w:val="none"/>
              </w:rPr>
            </w:pPr>
          </w:p>
        </w:tc>
      </w:tr>
      <w:tr w14:paraId="1D587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370" w:type="pct"/>
            <w:tcBorders>
              <w:top w:val="single" w:color="000000" w:sz="4" w:space="0"/>
              <w:left w:val="single" w:color="000000" w:sz="4" w:space="0"/>
              <w:bottom w:val="single" w:color="000000" w:sz="4" w:space="0"/>
              <w:right w:val="nil"/>
            </w:tcBorders>
            <w:shd w:val="clear" w:color="auto" w:fill="auto"/>
            <w:noWrap/>
            <w:vAlign w:val="center"/>
          </w:tcPr>
          <w:p w14:paraId="3BE184ED">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7</w:t>
            </w:r>
          </w:p>
        </w:tc>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08C1F">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冷通道</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空调2-3</w:t>
            </w:r>
          </w:p>
        </w:tc>
        <w:tc>
          <w:tcPr>
            <w:tcW w:w="10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45950">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维谛 CR025RA1380S12E10000PV000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CCED2">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台</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08699">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19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38E92">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1.滤网维护报警 更换</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2.高水位报警</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3.加湿罐脏堵 清洗或更换</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1C884">
            <w:pPr>
              <w:spacing w:line="240" w:lineRule="auto"/>
              <w:rPr>
                <w:rFonts w:hint="eastAsia" w:ascii="宋体" w:hAnsi="宋体" w:eastAsia="宋体" w:cs="宋体"/>
                <w:i w:val="0"/>
                <w:iCs w:val="0"/>
                <w:color w:val="auto"/>
                <w:sz w:val="24"/>
                <w:szCs w:val="24"/>
                <w:u w:val="none"/>
              </w:rPr>
            </w:pPr>
          </w:p>
        </w:tc>
      </w:tr>
      <w:tr w14:paraId="17E5B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2" w:hRule="atLeast"/>
        </w:trPr>
        <w:tc>
          <w:tcPr>
            <w:tcW w:w="370" w:type="pct"/>
            <w:tcBorders>
              <w:top w:val="single" w:color="000000" w:sz="4" w:space="0"/>
              <w:left w:val="single" w:color="000000" w:sz="4" w:space="0"/>
              <w:bottom w:val="single" w:color="000000" w:sz="4" w:space="0"/>
              <w:right w:val="nil"/>
            </w:tcBorders>
            <w:shd w:val="clear" w:color="auto" w:fill="auto"/>
            <w:noWrap/>
            <w:vAlign w:val="center"/>
          </w:tcPr>
          <w:p w14:paraId="65FDA9ED">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w:t>
            </w:r>
          </w:p>
        </w:tc>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20327">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冷通道</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空调3-1</w:t>
            </w:r>
          </w:p>
        </w:tc>
        <w:tc>
          <w:tcPr>
            <w:tcW w:w="10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3F29C">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维谛 CR025RA1N8S712E30000PV000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030C7">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台</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028BD">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19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9EE7E">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1.低压传感器故障锁定报警，需排查</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2.滤网维护报警 更换</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3.加湿罐脏堵 清洗或更换</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DDAEC">
            <w:pPr>
              <w:spacing w:line="240" w:lineRule="auto"/>
              <w:rPr>
                <w:rFonts w:hint="eastAsia" w:ascii="宋体" w:hAnsi="宋体" w:eastAsia="宋体" w:cs="宋体"/>
                <w:i w:val="0"/>
                <w:iCs w:val="0"/>
                <w:color w:val="auto"/>
                <w:sz w:val="24"/>
                <w:szCs w:val="24"/>
                <w:u w:val="none"/>
              </w:rPr>
            </w:pPr>
          </w:p>
        </w:tc>
      </w:tr>
      <w:tr w14:paraId="176C0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0" w:hRule="atLeast"/>
        </w:trPr>
        <w:tc>
          <w:tcPr>
            <w:tcW w:w="370" w:type="pct"/>
            <w:tcBorders>
              <w:top w:val="single" w:color="000000" w:sz="4" w:space="0"/>
              <w:left w:val="single" w:color="000000" w:sz="4" w:space="0"/>
              <w:bottom w:val="single" w:color="000000" w:sz="4" w:space="0"/>
              <w:right w:val="nil"/>
            </w:tcBorders>
            <w:shd w:val="clear" w:color="auto" w:fill="auto"/>
            <w:noWrap/>
            <w:vAlign w:val="center"/>
          </w:tcPr>
          <w:p w14:paraId="61BDDAC1">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9</w:t>
            </w:r>
          </w:p>
        </w:tc>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2FD04">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冷通道</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空调3-2</w:t>
            </w:r>
          </w:p>
        </w:tc>
        <w:tc>
          <w:tcPr>
            <w:tcW w:w="10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EA97C">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维谛 CR025RA1N8S712E30000PV000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6A69D">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台</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E53AF">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19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70D2A">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1.低压传感器故障锁定报警，需排查</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2.滤网维护报警 更换</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4.加湿罐脏堵 清洗或更换</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4901A">
            <w:pPr>
              <w:spacing w:line="240" w:lineRule="auto"/>
              <w:rPr>
                <w:rFonts w:hint="eastAsia" w:ascii="宋体" w:hAnsi="宋体" w:eastAsia="宋体" w:cs="宋体"/>
                <w:i w:val="0"/>
                <w:iCs w:val="0"/>
                <w:color w:val="auto"/>
                <w:sz w:val="24"/>
                <w:szCs w:val="24"/>
                <w:u w:val="none"/>
              </w:rPr>
            </w:pPr>
          </w:p>
        </w:tc>
      </w:tr>
      <w:tr w14:paraId="44F32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370" w:type="pct"/>
            <w:tcBorders>
              <w:top w:val="single" w:color="000000" w:sz="4" w:space="0"/>
              <w:left w:val="single" w:color="000000" w:sz="4" w:space="0"/>
              <w:bottom w:val="single" w:color="000000" w:sz="4" w:space="0"/>
              <w:right w:val="nil"/>
            </w:tcBorders>
            <w:shd w:val="clear" w:color="auto" w:fill="auto"/>
            <w:noWrap/>
            <w:vAlign w:val="center"/>
          </w:tcPr>
          <w:p w14:paraId="589BFD0C">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10</w:t>
            </w:r>
          </w:p>
        </w:tc>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54FA2">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冷通道</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空调3-3</w:t>
            </w:r>
          </w:p>
        </w:tc>
        <w:tc>
          <w:tcPr>
            <w:tcW w:w="10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4C540">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维谛 CR025RA1N8S712E30000PV000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0A77E">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台</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C1808">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19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41EA2">
            <w:pPr>
              <w:keepNext w:val="0"/>
              <w:keepLines w:val="0"/>
              <w:widowControl/>
              <w:suppressLineNumbers w:val="0"/>
              <w:spacing w:after="220" w:afterAutospacing="0"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1.低压传感器故障锁定报警，需排查</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2.滤网维护报警 更换</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A5ED3">
            <w:pPr>
              <w:spacing w:line="240" w:lineRule="auto"/>
              <w:rPr>
                <w:rFonts w:hint="eastAsia" w:ascii="宋体" w:hAnsi="宋体" w:eastAsia="宋体" w:cs="宋体"/>
                <w:i w:val="0"/>
                <w:iCs w:val="0"/>
                <w:color w:val="auto"/>
                <w:sz w:val="24"/>
                <w:szCs w:val="24"/>
                <w:u w:val="none"/>
              </w:rPr>
            </w:pPr>
          </w:p>
        </w:tc>
      </w:tr>
      <w:tr w14:paraId="44674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370" w:type="pct"/>
            <w:tcBorders>
              <w:top w:val="single" w:color="000000" w:sz="4" w:space="0"/>
              <w:left w:val="single" w:color="000000" w:sz="4" w:space="0"/>
              <w:bottom w:val="single" w:color="000000" w:sz="4" w:space="0"/>
              <w:right w:val="nil"/>
            </w:tcBorders>
            <w:shd w:val="clear" w:color="auto" w:fill="auto"/>
            <w:noWrap/>
            <w:vAlign w:val="center"/>
          </w:tcPr>
          <w:p w14:paraId="78FC0EAA">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11</w:t>
            </w:r>
          </w:p>
        </w:tc>
        <w:tc>
          <w:tcPr>
            <w:tcW w:w="462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326B410">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  全面检测供电线路、压缩机、风机、控制主板，排查短路、漏电、部件损坏问题，完成维修或核心部件更换，恢复正常使用；对全部柜式空调、列间精密空调，开展深度拆机清理，清除蒸发器、冷凝器、过滤网、风道内积尘与杂物，更换老化密封件、冷媒；维修列间空调故障加湿罐，调试温控系统、告警系统，消除故障告警；校准空调温湿度参数，优化运行模式，恢复制冷、制热、除湿全功能，提升制冷效率，降低能耗。</w:t>
            </w:r>
          </w:p>
        </w:tc>
      </w:tr>
      <w:tr w14:paraId="13B52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70" w:type="pct"/>
            <w:tcBorders>
              <w:top w:val="single" w:color="000000" w:sz="4" w:space="0"/>
              <w:left w:val="single" w:color="000000" w:sz="4" w:space="0"/>
              <w:bottom w:val="single" w:color="000000" w:sz="4" w:space="0"/>
              <w:right w:val="nil"/>
            </w:tcBorders>
            <w:shd w:val="clear" w:color="auto" w:fill="auto"/>
            <w:noWrap/>
            <w:vAlign w:val="center"/>
          </w:tcPr>
          <w:p w14:paraId="097E40A3">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三</w:t>
            </w:r>
          </w:p>
        </w:tc>
        <w:tc>
          <w:tcPr>
            <w:tcW w:w="4629"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FB7C2">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模块化冷通道密闭系统修复 </w:t>
            </w:r>
          </w:p>
        </w:tc>
      </w:tr>
      <w:tr w14:paraId="50507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70" w:type="pct"/>
            <w:tcBorders>
              <w:top w:val="single" w:color="000000" w:sz="4" w:space="0"/>
              <w:left w:val="single" w:color="000000" w:sz="4" w:space="0"/>
              <w:bottom w:val="single" w:color="000000" w:sz="4" w:space="0"/>
              <w:right w:val="nil"/>
            </w:tcBorders>
            <w:shd w:val="clear" w:color="auto" w:fill="auto"/>
            <w:noWrap/>
            <w:vAlign w:val="center"/>
          </w:tcPr>
          <w:p w14:paraId="226400E0">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序号</w:t>
            </w:r>
          </w:p>
        </w:tc>
        <w:tc>
          <w:tcPr>
            <w:tcW w:w="6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6EF33">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名称</w:t>
            </w:r>
          </w:p>
        </w:tc>
        <w:tc>
          <w:tcPr>
            <w:tcW w:w="10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520BD">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型号</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301C5">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单位</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90027">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数量</w:t>
            </w:r>
          </w:p>
        </w:tc>
        <w:tc>
          <w:tcPr>
            <w:tcW w:w="19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194C8">
            <w:pPr>
              <w:spacing w:line="240" w:lineRule="auto"/>
              <w:rPr>
                <w:rFonts w:hint="eastAsia" w:ascii="宋体" w:hAnsi="宋体" w:eastAsia="宋体" w:cs="宋体"/>
                <w:i w:val="0"/>
                <w:iCs w:val="0"/>
                <w:color w:val="auto"/>
                <w:sz w:val="24"/>
                <w:szCs w:val="24"/>
                <w:u w:val="none"/>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35A85">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备注</w:t>
            </w:r>
          </w:p>
        </w:tc>
      </w:tr>
      <w:tr w14:paraId="26FA4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370" w:type="pct"/>
            <w:tcBorders>
              <w:top w:val="single" w:color="000000" w:sz="4" w:space="0"/>
              <w:left w:val="single" w:color="000000" w:sz="4" w:space="0"/>
              <w:bottom w:val="single" w:color="000000" w:sz="4" w:space="0"/>
              <w:right w:val="nil"/>
            </w:tcBorders>
            <w:shd w:val="clear" w:color="auto" w:fill="auto"/>
            <w:noWrap/>
            <w:vAlign w:val="center"/>
          </w:tcPr>
          <w:p w14:paraId="27F82DCB">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39110">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冷通道1</w:t>
            </w:r>
          </w:p>
        </w:tc>
        <w:tc>
          <w:tcPr>
            <w:tcW w:w="10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B8DB9">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金盾</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VSR81242-FJSZY</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3BB88">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个</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BE172">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19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1E9CB">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1.2#温湿度采集器故障需更换</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2.门磁状异常、天窗复位故障，网络型采集单元、开关电源、门磁排查更换</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3.监控管理服务器排查修复或更换</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26E6E">
            <w:pPr>
              <w:spacing w:line="240" w:lineRule="auto"/>
              <w:rPr>
                <w:rFonts w:hint="eastAsia" w:ascii="宋体" w:hAnsi="宋体" w:eastAsia="宋体" w:cs="宋体"/>
                <w:i w:val="0"/>
                <w:iCs w:val="0"/>
                <w:color w:val="auto"/>
                <w:sz w:val="24"/>
                <w:szCs w:val="24"/>
                <w:u w:val="none"/>
              </w:rPr>
            </w:pPr>
          </w:p>
        </w:tc>
      </w:tr>
      <w:tr w14:paraId="3FA0D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370" w:type="pct"/>
            <w:tcBorders>
              <w:top w:val="single" w:color="000000" w:sz="4" w:space="0"/>
              <w:left w:val="single" w:color="000000" w:sz="4" w:space="0"/>
              <w:bottom w:val="single" w:color="000000" w:sz="4" w:space="0"/>
              <w:right w:val="nil"/>
            </w:tcBorders>
            <w:shd w:val="clear" w:color="auto" w:fill="auto"/>
            <w:noWrap/>
            <w:vAlign w:val="center"/>
          </w:tcPr>
          <w:p w14:paraId="7485E2B1">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w:t>
            </w:r>
          </w:p>
        </w:tc>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2FB38">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冷通道2</w:t>
            </w:r>
          </w:p>
        </w:tc>
        <w:tc>
          <w:tcPr>
            <w:tcW w:w="10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3A615">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金盾</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VSR81242-FJSZY</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D6130">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个</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08AA9">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19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D1DB7">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1.门磁状异常、天窗复位故障，网络型采集单元、开关电源、门磁排查更换</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2.监控管理服务器排查修复或更换</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8E121">
            <w:pPr>
              <w:spacing w:line="240" w:lineRule="auto"/>
              <w:rPr>
                <w:rFonts w:hint="eastAsia" w:ascii="宋体" w:hAnsi="宋体" w:eastAsia="宋体" w:cs="宋体"/>
                <w:i w:val="0"/>
                <w:iCs w:val="0"/>
                <w:color w:val="auto"/>
                <w:sz w:val="24"/>
                <w:szCs w:val="24"/>
                <w:u w:val="none"/>
              </w:rPr>
            </w:pPr>
          </w:p>
        </w:tc>
      </w:tr>
      <w:tr w14:paraId="15A3C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370" w:type="pct"/>
            <w:tcBorders>
              <w:top w:val="single" w:color="000000" w:sz="4" w:space="0"/>
              <w:left w:val="single" w:color="000000" w:sz="4" w:space="0"/>
              <w:bottom w:val="single" w:color="000000" w:sz="4" w:space="0"/>
              <w:right w:val="nil"/>
            </w:tcBorders>
            <w:shd w:val="clear" w:color="auto" w:fill="auto"/>
            <w:noWrap/>
            <w:vAlign w:val="center"/>
          </w:tcPr>
          <w:p w14:paraId="4F34487F">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w:t>
            </w:r>
          </w:p>
        </w:tc>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E7D1D">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冷通道3</w:t>
            </w:r>
          </w:p>
        </w:tc>
        <w:tc>
          <w:tcPr>
            <w:tcW w:w="10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9A017">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金盾</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VSR81242-FJSZY</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6E88D">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个</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D0923">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19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5DA97">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1.门磁状异常、天窗复位故障，网络型采集单元、开关电源、门磁排查更换</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2.监控管理服务器排查修复或更换</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30485">
            <w:pPr>
              <w:spacing w:line="240" w:lineRule="auto"/>
              <w:rPr>
                <w:rFonts w:hint="eastAsia" w:ascii="宋体" w:hAnsi="宋体" w:eastAsia="宋体" w:cs="宋体"/>
                <w:i w:val="0"/>
                <w:iCs w:val="0"/>
                <w:color w:val="auto"/>
                <w:sz w:val="24"/>
                <w:szCs w:val="24"/>
                <w:u w:val="none"/>
              </w:rPr>
            </w:pPr>
          </w:p>
        </w:tc>
      </w:tr>
      <w:tr w14:paraId="7E4D8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370" w:type="pct"/>
            <w:tcBorders>
              <w:top w:val="single" w:color="000000" w:sz="4" w:space="0"/>
              <w:left w:val="single" w:color="000000" w:sz="4" w:space="0"/>
              <w:bottom w:val="single" w:color="000000" w:sz="4" w:space="0"/>
              <w:right w:val="nil"/>
            </w:tcBorders>
            <w:shd w:val="clear" w:color="auto" w:fill="auto"/>
            <w:noWrap/>
            <w:vAlign w:val="center"/>
          </w:tcPr>
          <w:p w14:paraId="433E15D6">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w:t>
            </w:r>
          </w:p>
        </w:tc>
        <w:tc>
          <w:tcPr>
            <w:tcW w:w="462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907346E">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   对3组模块化冷通道进行全面故障排查，重点检修天窗控制电机、联动控制器、感应装置、传动结构与线路，修复损坏部件，更换老化电机与线路；调试天窗自动联动、手动关闭功能，确保全部天窗可正常闭合，恢复冷通道密闭结构，阻断冷热空气混流，配合行间空调实现精准制冷，优化机房气流组织，降低设备过热风险。</w:t>
            </w:r>
          </w:p>
        </w:tc>
      </w:tr>
      <w:tr w14:paraId="3F1A1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70" w:type="pct"/>
            <w:tcBorders>
              <w:top w:val="single" w:color="000000" w:sz="4" w:space="0"/>
              <w:left w:val="single" w:color="000000" w:sz="4" w:space="0"/>
              <w:bottom w:val="single" w:color="000000" w:sz="4" w:space="0"/>
              <w:right w:val="nil"/>
            </w:tcBorders>
            <w:shd w:val="clear" w:color="auto" w:fill="auto"/>
            <w:noWrap/>
            <w:vAlign w:val="center"/>
          </w:tcPr>
          <w:p w14:paraId="1C210925">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四</w:t>
            </w:r>
          </w:p>
        </w:tc>
        <w:tc>
          <w:tcPr>
            <w:tcW w:w="4629"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28026">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供配电三相不均衡修复  </w:t>
            </w:r>
          </w:p>
        </w:tc>
      </w:tr>
      <w:tr w14:paraId="22208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70" w:type="pct"/>
            <w:tcBorders>
              <w:top w:val="single" w:color="000000" w:sz="4" w:space="0"/>
              <w:left w:val="single" w:color="000000" w:sz="4" w:space="0"/>
              <w:bottom w:val="single" w:color="000000" w:sz="4" w:space="0"/>
              <w:right w:val="nil"/>
            </w:tcBorders>
            <w:shd w:val="clear" w:color="auto" w:fill="auto"/>
            <w:noWrap/>
            <w:vAlign w:val="center"/>
          </w:tcPr>
          <w:p w14:paraId="544F0A77">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序号</w:t>
            </w:r>
          </w:p>
        </w:tc>
        <w:tc>
          <w:tcPr>
            <w:tcW w:w="6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E0608">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名称</w:t>
            </w:r>
          </w:p>
        </w:tc>
        <w:tc>
          <w:tcPr>
            <w:tcW w:w="10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082C0">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型号</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1B8E6">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单位</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2BB0F">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数量</w:t>
            </w:r>
          </w:p>
        </w:tc>
        <w:tc>
          <w:tcPr>
            <w:tcW w:w="19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77FA3">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故障内容</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A9A08">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备注</w:t>
            </w:r>
          </w:p>
        </w:tc>
      </w:tr>
      <w:tr w14:paraId="7A2FE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370" w:type="pct"/>
            <w:tcBorders>
              <w:top w:val="single" w:color="000000" w:sz="4" w:space="0"/>
              <w:left w:val="single" w:color="000000" w:sz="4" w:space="0"/>
              <w:bottom w:val="single" w:color="000000" w:sz="4" w:space="0"/>
              <w:right w:val="nil"/>
            </w:tcBorders>
            <w:shd w:val="clear" w:color="auto" w:fill="auto"/>
            <w:noWrap/>
            <w:vAlign w:val="center"/>
          </w:tcPr>
          <w:p w14:paraId="68BD7162">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0B213">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动力配电三相不均衡修复</w:t>
            </w:r>
          </w:p>
        </w:tc>
        <w:tc>
          <w:tcPr>
            <w:tcW w:w="10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7C8FA">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万升电器</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4DD32">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项</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EF3CF">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19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83B9D">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1.三相负载不平均，需逐项排查</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476F6">
            <w:pPr>
              <w:spacing w:line="240" w:lineRule="auto"/>
              <w:jc w:val="center"/>
              <w:rPr>
                <w:rFonts w:hint="eastAsia" w:ascii="宋体" w:hAnsi="宋体" w:eastAsia="宋体" w:cs="宋体"/>
                <w:i w:val="0"/>
                <w:iCs w:val="0"/>
                <w:color w:val="auto"/>
                <w:sz w:val="24"/>
                <w:szCs w:val="24"/>
                <w:u w:val="none"/>
              </w:rPr>
            </w:pPr>
          </w:p>
        </w:tc>
      </w:tr>
      <w:tr w14:paraId="14D99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370" w:type="pct"/>
            <w:tcBorders>
              <w:top w:val="single" w:color="000000" w:sz="4" w:space="0"/>
              <w:left w:val="single" w:color="000000" w:sz="4" w:space="0"/>
              <w:bottom w:val="single" w:color="000000" w:sz="4" w:space="0"/>
              <w:right w:val="nil"/>
            </w:tcBorders>
            <w:shd w:val="clear" w:color="auto" w:fill="auto"/>
            <w:noWrap/>
            <w:vAlign w:val="center"/>
          </w:tcPr>
          <w:p w14:paraId="0E07D4FB">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w:t>
            </w:r>
          </w:p>
        </w:tc>
        <w:tc>
          <w:tcPr>
            <w:tcW w:w="462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C15414B">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   梳理机房内所有设备供电回路、负荷分布，制定三相负荷均衡调整方案；重新规划供电回路接线，分流不均衡负荷，更换老化配电配件、接线端子；检测接地电阻、漏电保护、过流保护功能，确保供配电系统三相平衡达标，供电稳定无波动，消除线路过载、发热、短路风险。</w:t>
            </w:r>
          </w:p>
        </w:tc>
      </w:tr>
      <w:tr w14:paraId="21230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370" w:type="pct"/>
            <w:tcBorders>
              <w:top w:val="single" w:color="000000" w:sz="4" w:space="0"/>
              <w:left w:val="single" w:color="000000" w:sz="4" w:space="0"/>
              <w:bottom w:val="single" w:color="000000" w:sz="4" w:space="0"/>
              <w:right w:val="nil"/>
            </w:tcBorders>
            <w:shd w:val="clear" w:color="auto" w:fill="auto"/>
            <w:noWrap/>
            <w:vAlign w:val="center"/>
          </w:tcPr>
          <w:p w14:paraId="723B4FE4">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五</w:t>
            </w:r>
          </w:p>
        </w:tc>
        <w:tc>
          <w:tcPr>
            <w:tcW w:w="4629"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256B6">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动力环境监控系统升级或修复 </w:t>
            </w:r>
          </w:p>
        </w:tc>
      </w:tr>
      <w:tr w14:paraId="72AD5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370" w:type="pct"/>
            <w:tcBorders>
              <w:top w:val="single" w:color="000000" w:sz="4" w:space="0"/>
              <w:left w:val="single" w:color="000000" w:sz="4" w:space="0"/>
              <w:bottom w:val="single" w:color="000000" w:sz="4" w:space="0"/>
              <w:right w:val="nil"/>
            </w:tcBorders>
            <w:shd w:val="clear" w:color="auto" w:fill="auto"/>
            <w:noWrap/>
            <w:vAlign w:val="center"/>
          </w:tcPr>
          <w:p w14:paraId="4CE3EE95">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序号</w:t>
            </w:r>
          </w:p>
        </w:tc>
        <w:tc>
          <w:tcPr>
            <w:tcW w:w="6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CE9FD">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名称</w:t>
            </w:r>
          </w:p>
        </w:tc>
        <w:tc>
          <w:tcPr>
            <w:tcW w:w="10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A2F09">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型号</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BCD41">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单位</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D4DCF">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数量</w:t>
            </w:r>
          </w:p>
        </w:tc>
        <w:tc>
          <w:tcPr>
            <w:tcW w:w="19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1FB47">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故障内容</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0635A">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备注</w:t>
            </w:r>
          </w:p>
        </w:tc>
      </w:tr>
      <w:tr w14:paraId="5E38D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0" w:hRule="atLeast"/>
        </w:trPr>
        <w:tc>
          <w:tcPr>
            <w:tcW w:w="370" w:type="pct"/>
            <w:tcBorders>
              <w:top w:val="single" w:color="000000" w:sz="4" w:space="0"/>
              <w:left w:val="single" w:color="000000" w:sz="4" w:space="0"/>
              <w:bottom w:val="single" w:color="000000" w:sz="4" w:space="0"/>
              <w:right w:val="nil"/>
            </w:tcBorders>
            <w:shd w:val="clear" w:color="auto" w:fill="auto"/>
            <w:noWrap/>
            <w:vAlign w:val="center"/>
          </w:tcPr>
          <w:p w14:paraId="7E03907F">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6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28658">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动环系统</w:t>
            </w:r>
          </w:p>
        </w:tc>
        <w:tc>
          <w:tcPr>
            <w:tcW w:w="10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C9F3F">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安之源</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AE9DD">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套</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AC72B">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19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EE7A0">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1.动环平台系统无数据，需全面排查采集器、监测终端等硬件设备、排查服务器、平台软件等故障问题，确定修复</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FDDAD">
            <w:pPr>
              <w:spacing w:line="240" w:lineRule="auto"/>
              <w:jc w:val="center"/>
              <w:rPr>
                <w:rFonts w:hint="eastAsia" w:ascii="宋体" w:hAnsi="宋体" w:eastAsia="宋体" w:cs="宋体"/>
                <w:i w:val="0"/>
                <w:iCs w:val="0"/>
                <w:color w:val="auto"/>
                <w:sz w:val="24"/>
                <w:szCs w:val="24"/>
                <w:u w:val="none"/>
              </w:rPr>
            </w:pPr>
          </w:p>
        </w:tc>
      </w:tr>
      <w:tr w14:paraId="2FC97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370" w:type="pct"/>
            <w:tcBorders>
              <w:top w:val="single" w:color="000000" w:sz="4" w:space="0"/>
              <w:left w:val="single" w:color="000000" w:sz="4" w:space="0"/>
              <w:bottom w:val="single" w:color="000000" w:sz="4" w:space="0"/>
              <w:right w:val="nil"/>
            </w:tcBorders>
            <w:shd w:val="clear" w:color="auto" w:fill="auto"/>
            <w:noWrap/>
            <w:vAlign w:val="center"/>
          </w:tcPr>
          <w:p w14:paraId="0525EF8A">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w:t>
            </w:r>
          </w:p>
        </w:tc>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F0875">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冷通道1精密配电柜配电监测主机</w:t>
            </w:r>
          </w:p>
        </w:tc>
        <w:tc>
          <w:tcPr>
            <w:tcW w:w="10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79BDD">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配套定制</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729CE">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套</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89B62">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19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38D9E">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配电监测主机故障需排查维修</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563D8">
            <w:pPr>
              <w:spacing w:line="240" w:lineRule="auto"/>
              <w:jc w:val="center"/>
              <w:rPr>
                <w:rFonts w:hint="eastAsia" w:ascii="宋体" w:hAnsi="宋体" w:eastAsia="宋体" w:cs="宋体"/>
                <w:i w:val="0"/>
                <w:iCs w:val="0"/>
                <w:color w:val="auto"/>
                <w:sz w:val="24"/>
                <w:szCs w:val="24"/>
                <w:u w:val="none"/>
              </w:rPr>
            </w:pPr>
          </w:p>
        </w:tc>
      </w:tr>
      <w:tr w14:paraId="5AB2A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370" w:type="pct"/>
            <w:tcBorders>
              <w:top w:val="single" w:color="000000" w:sz="4" w:space="0"/>
              <w:left w:val="single" w:color="000000" w:sz="4" w:space="0"/>
              <w:bottom w:val="single" w:color="000000" w:sz="4" w:space="0"/>
              <w:right w:val="nil"/>
            </w:tcBorders>
            <w:shd w:val="clear" w:color="auto" w:fill="auto"/>
            <w:noWrap/>
            <w:vAlign w:val="center"/>
          </w:tcPr>
          <w:p w14:paraId="0706BCA3">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w:t>
            </w:r>
          </w:p>
        </w:tc>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F4E3B">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门禁</w:t>
            </w:r>
          </w:p>
        </w:tc>
        <w:tc>
          <w:tcPr>
            <w:tcW w:w="10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1D6C0">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配套</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0F364">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套</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A8321">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19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50238">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优化升级机房门禁管理体系，门禁设备联网集中管控，日志、数据读取</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6076C">
            <w:pPr>
              <w:spacing w:line="240" w:lineRule="auto"/>
              <w:jc w:val="center"/>
              <w:rPr>
                <w:rFonts w:hint="eastAsia" w:ascii="宋体" w:hAnsi="宋体" w:eastAsia="宋体" w:cs="宋体"/>
                <w:i w:val="0"/>
                <w:iCs w:val="0"/>
                <w:color w:val="auto"/>
                <w:sz w:val="24"/>
                <w:szCs w:val="24"/>
                <w:u w:val="none"/>
              </w:rPr>
            </w:pPr>
          </w:p>
        </w:tc>
      </w:tr>
      <w:tr w14:paraId="32528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370" w:type="pct"/>
            <w:tcBorders>
              <w:top w:val="single" w:color="000000" w:sz="4" w:space="0"/>
              <w:left w:val="single" w:color="000000" w:sz="4" w:space="0"/>
              <w:bottom w:val="single" w:color="000000" w:sz="4" w:space="0"/>
              <w:right w:val="nil"/>
            </w:tcBorders>
            <w:shd w:val="clear" w:color="auto" w:fill="auto"/>
            <w:noWrap/>
            <w:vAlign w:val="center"/>
          </w:tcPr>
          <w:p w14:paraId="5639B2AB">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w:t>
            </w:r>
          </w:p>
        </w:tc>
        <w:tc>
          <w:tcPr>
            <w:tcW w:w="462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33A9F6B">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   废弃或利旧原有失效监测系统，搭建适配校园机房的新一代动力环境监控系统，实现对机房供配电、UPS、精密空调、温湿度、消防、漏水、烟感、门禁、鼠害预警等全维度实时监测；配置可视化监控大屏与移动端告警功能，故障发生时第一时间通过短信、声光推送告警信息，实现故障提前预警、实时监控、远程管控，变被动抢修为主动预判，填补运维监测。</w:t>
            </w:r>
          </w:p>
        </w:tc>
      </w:tr>
      <w:tr w14:paraId="5D9FE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370" w:type="pct"/>
            <w:tcBorders>
              <w:top w:val="single" w:color="000000" w:sz="4" w:space="0"/>
              <w:left w:val="single" w:color="000000" w:sz="4" w:space="0"/>
              <w:bottom w:val="single" w:color="000000" w:sz="4" w:space="0"/>
              <w:right w:val="nil"/>
            </w:tcBorders>
            <w:shd w:val="clear" w:color="auto" w:fill="auto"/>
            <w:noWrap/>
            <w:vAlign w:val="center"/>
          </w:tcPr>
          <w:p w14:paraId="41479A67">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六</w:t>
            </w:r>
          </w:p>
        </w:tc>
        <w:tc>
          <w:tcPr>
            <w:tcW w:w="4629"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EA157">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鼠害防控与机房物理环境整治</w:t>
            </w:r>
          </w:p>
        </w:tc>
      </w:tr>
      <w:tr w14:paraId="3651A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370" w:type="pct"/>
            <w:tcBorders>
              <w:top w:val="single" w:color="000000" w:sz="4" w:space="0"/>
              <w:left w:val="single" w:color="000000" w:sz="4" w:space="0"/>
              <w:bottom w:val="single" w:color="000000" w:sz="4" w:space="0"/>
              <w:right w:val="nil"/>
            </w:tcBorders>
            <w:shd w:val="clear" w:color="auto" w:fill="auto"/>
            <w:noWrap/>
            <w:vAlign w:val="center"/>
          </w:tcPr>
          <w:p w14:paraId="03A4D786">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序号</w:t>
            </w:r>
          </w:p>
        </w:tc>
        <w:tc>
          <w:tcPr>
            <w:tcW w:w="6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E0C6C">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名称</w:t>
            </w:r>
          </w:p>
        </w:tc>
        <w:tc>
          <w:tcPr>
            <w:tcW w:w="10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3F247">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型号</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B96AC">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单位</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CC289">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数量</w:t>
            </w:r>
          </w:p>
        </w:tc>
        <w:tc>
          <w:tcPr>
            <w:tcW w:w="19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BA063">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整治内容</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4072F">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备注</w:t>
            </w:r>
          </w:p>
        </w:tc>
      </w:tr>
      <w:tr w14:paraId="36E40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0" w:hRule="atLeast"/>
        </w:trPr>
        <w:tc>
          <w:tcPr>
            <w:tcW w:w="370" w:type="pct"/>
            <w:tcBorders>
              <w:top w:val="single" w:color="000000" w:sz="4" w:space="0"/>
              <w:left w:val="single" w:color="000000" w:sz="4" w:space="0"/>
              <w:bottom w:val="single" w:color="000000" w:sz="4" w:space="0"/>
              <w:right w:val="nil"/>
            </w:tcBorders>
            <w:shd w:val="clear" w:color="auto" w:fill="auto"/>
            <w:noWrap/>
            <w:vAlign w:val="center"/>
          </w:tcPr>
          <w:p w14:paraId="3D9F17AE">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B7917">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物理环境整治</w:t>
            </w:r>
          </w:p>
        </w:tc>
        <w:tc>
          <w:tcPr>
            <w:tcW w:w="10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676F8">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物理环境整治</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5F11F">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项</w:t>
            </w:r>
          </w:p>
        </w:tc>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1E530">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19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49781">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1.机房漏水检修：冷通道1后门上方吊顶、柜式空调5上方吊顶有漏水痕迹</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2.机房封堵、线缆防护、深度清理等</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12A47">
            <w:pPr>
              <w:spacing w:line="240" w:lineRule="auto"/>
              <w:jc w:val="center"/>
              <w:rPr>
                <w:rFonts w:hint="eastAsia" w:ascii="宋体" w:hAnsi="宋体" w:eastAsia="宋体" w:cs="宋体"/>
                <w:i w:val="0"/>
                <w:iCs w:val="0"/>
                <w:color w:val="auto"/>
                <w:sz w:val="24"/>
                <w:szCs w:val="24"/>
                <w:u w:val="none"/>
              </w:rPr>
            </w:pPr>
          </w:p>
        </w:tc>
      </w:tr>
      <w:tr w14:paraId="734C0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trPr>
        <w:tc>
          <w:tcPr>
            <w:tcW w:w="370" w:type="pct"/>
            <w:tcBorders>
              <w:top w:val="single" w:color="000000" w:sz="4" w:space="0"/>
              <w:left w:val="single" w:color="000000" w:sz="4" w:space="0"/>
              <w:bottom w:val="single" w:color="000000" w:sz="4" w:space="0"/>
              <w:right w:val="nil"/>
            </w:tcBorders>
            <w:shd w:val="clear" w:color="auto" w:fill="auto"/>
            <w:noWrap/>
            <w:vAlign w:val="center"/>
          </w:tcPr>
          <w:p w14:paraId="5F3D192A">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w:t>
            </w:r>
          </w:p>
        </w:tc>
        <w:tc>
          <w:tcPr>
            <w:tcW w:w="425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4CE0921">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   排查机房地板下、线缆沟、门窗缝隙等鼠害入侵通道，封堵全部漏洞，做好机房密闭性防护；在机房内部、地板下、配电房等区域布置专业物理防鼠、灭鼠装置，定期巡查更换；深度清理地板下灰尘、杂物、线缆杂乱区域，整理机房强弱电线缆，做好线缆防护套管，杜绝鼠害啃咬隐患，同时改善机房内部环境卫生，减少灰尘、潮气侵入。</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E32C4">
            <w:pPr>
              <w:spacing w:line="240" w:lineRule="auto"/>
              <w:jc w:val="center"/>
              <w:rPr>
                <w:rFonts w:hint="eastAsia" w:ascii="宋体" w:hAnsi="宋体" w:eastAsia="宋体" w:cs="宋体"/>
                <w:i w:val="0"/>
                <w:iCs w:val="0"/>
                <w:color w:val="auto"/>
                <w:sz w:val="24"/>
                <w:szCs w:val="24"/>
                <w:u w:val="none"/>
              </w:rPr>
            </w:pPr>
          </w:p>
        </w:tc>
      </w:tr>
      <w:tr w14:paraId="6CFCB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3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3B4C7">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七</w:t>
            </w:r>
          </w:p>
        </w:tc>
        <w:tc>
          <w:tcPr>
            <w:tcW w:w="4629"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5158B">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维修完成后一年的运维服务</w:t>
            </w:r>
          </w:p>
        </w:tc>
      </w:tr>
      <w:tr w14:paraId="023E4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80" w:hRule="atLeast"/>
        </w:trPr>
        <w:tc>
          <w:tcPr>
            <w:tcW w:w="3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DAE9A">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425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7965822">
            <w:pPr>
              <w:keepNext w:val="0"/>
              <w:keepLines w:val="0"/>
              <w:widowControl/>
              <w:suppressLineNumbers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   在日常运维过程中通过IT运维管理软件作为日常运维辅助，完成机房运维，需包含机房动力强电系统及环境监控系统的运维，机房动力及环境监控的维护，供配电监测系统、机房配电设备维护管理，UPS、精密空调等设备状态的日常监控服务，视频监控设备等系统的日常维护；UPS每半年一次的充放电；机房顶部和地板下的深度保洁服务、运维设备清洁保洁服务。</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C1F17">
            <w:pPr>
              <w:spacing w:line="240" w:lineRule="auto"/>
              <w:rPr>
                <w:rFonts w:hint="eastAsia" w:ascii="宋体" w:hAnsi="宋体" w:eastAsia="宋体" w:cs="宋体"/>
                <w:i w:val="0"/>
                <w:iCs w:val="0"/>
                <w:color w:val="auto"/>
                <w:sz w:val="24"/>
                <w:szCs w:val="24"/>
                <w:u w:val="none"/>
              </w:rPr>
            </w:pPr>
          </w:p>
        </w:tc>
      </w:tr>
    </w:tbl>
    <w:p w14:paraId="6A295FDF">
      <w:pPr>
        <w:spacing w:before="120" w:after="120" w:line="360" w:lineRule="auto"/>
        <w:jc w:val="left"/>
        <w:rPr>
          <w:rFonts w:hint="eastAsia" w:ascii="宋体" w:hAnsi="宋体" w:eastAsia="宋体" w:cs="宋体"/>
          <w:color w:val="auto"/>
          <w:sz w:val="24"/>
          <w:szCs w:val="24"/>
          <w:lang w:val="en-US" w:eastAsia="zh-CN"/>
        </w:rPr>
      </w:pPr>
    </w:p>
    <w:p w14:paraId="3D4BAF40">
      <w:pPr>
        <w:pStyle w:val="5"/>
        <w:spacing w:line="360" w:lineRule="auto"/>
        <w:ind w:left="0" w:leftChars="0" w:firstLine="480" w:firstLineChars="200"/>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2.7</w:t>
      </w:r>
      <w:r>
        <w:rPr>
          <w:rFonts w:hint="eastAsia" w:ascii="宋体" w:hAnsi="宋体" w:eastAsia="宋体" w:cs="宋体"/>
          <w:color w:val="auto"/>
          <w:sz w:val="24"/>
          <w:szCs w:val="24"/>
          <w:highlight w:val="none"/>
          <w:lang w:val="en-US" w:eastAsia="zh-CN"/>
        </w:rPr>
        <w:t>设备故障整改</w:t>
      </w:r>
      <w:r>
        <w:rPr>
          <w:rFonts w:hint="eastAsia" w:ascii="宋体" w:hAnsi="宋体" w:eastAsia="宋体" w:cs="宋体"/>
          <w:b w:val="0"/>
          <w:bCs/>
          <w:color w:val="auto"/>
          <w:sz w:val="24"/>
          <w:szCs w:val="24"/>
          <w:lang w:val="en-US" w:eastAsia="zh-CN"/>
        </w:rPr>
        <w:t>完成后一年的运维服务</w:t>
      </w:r>
    </w:p>
    <w:p w14:paraId="7B15EE8D">
      <w:pPr>
        <w:spacing w:line="360" w:lineRule="auto"/>
        <w:ind w:left="239" w:leftChars="114" w:firstLine="307" w:firstLineChars="128"/>
        <w:jc w:val="left"/>
        <w:rPr>
          <w:rFonts w:hint="eastAsia" w:ascii="宋体" w:hAnsi="宋体" w:eastAsia="宋体" w:cs="宋体"/>
          <w:i w:val="0"/>
          <w:iCs w:val="0"/>
          <w:color w:val="auto"/>
          <w:sz w:val="24"/>
          <w:szCs w:val="24"/>
          <w:lang w:val="zh-CN" w:eastAsia="zh-CN"/>
        </w:rPr>
      </w:pPr>
      <w:r>
        <w:rPr>
          <w:rFonts w:hint="eastAsia" w:ascii="宋体" w:hAnsi="宋体" w:eastAsia="宋体" w:cs="宋体"/>
          <w:i w:val="0"/>
          <w:iCs w:val="0"/>
          <w:color w:val="auto"/>
          <w:sz w:val="24"/>
          <w:szCs w:val="24"/>
          <w:lang w:val="zh-CN" w:eastAsia="zh-CN"/>
        </w:rPr>
        <w:t>在日常运维过程中通过IT运维管理软件作为日常运维辅助，完成机房运维。</w:t>
      </w:r>
    </w:p>
    <w:p w14:paraId="285E39EA">
      <w:pPr>
        <w:spacing w:line="360" w:lineRule="auto"/>
        <w:ind w:left="239" w:leftChars="114" w:firstLine="307" w:firstLineChars="128"/>
        <w:jc w:val="left"/>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2.7.1灭火装置运维服务</w:t>
      </w:r>
    </w:p>
    <w:p w14:paraId="1619A108">
      <w:pPr>
        <w:spacing w:line="360" w:lineRule="auto"/>
        <w:ind w:left="239" w:leftChars="114" w:firstLine="307" w:firstLineChars="128"/>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2.7.1.1</w:t>
      </w:r>
      <w:r>
        <w:rPr>
          <w:rFonts w:hint="eastAsia" w:ascii="宋体" w:hAnsi="宋体" w:eastAsia="宋体" w:cs="宋体"/>
          <w:color w:val="auto"/>
          <w:sz w:val="24"/>
          <w:szCs w:val="24"/>
          <w:highlight w:val="none"/>
          <w:lang w:eastAsia="zh-CN"/>
        </w:rPr>
        <w:t>、日常维保（每月必查）</w:t>
      </w:r>
    </w:p>
    <w:p w14:paraId="1FC6B52A">
      <w:pPr>
        <w:spacing w:line="360" w:lineRule="auto"/>
        <w:ind w:firstLine="48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①</w:t>
      </w:r>
      <w:r>
        <w:rPr>
          <w:rFonts w:hint="eastAsia" w:ascii="宋体" w:hAnsi="宋体" w:eastAsia="宋体" w:cs="宋体"/>
          <w:color w:val="auto"/>
          <w:sz w:val="24"/>
          <w:szCs w:val="24"/>
          <w:highlight w:val="none"/>
          <w:lang w:eastAsia="zh-CN"/>
        </w:rPr>
        <w:t xml:space="preserve"> 环境与外观检查</w:t>
      </w:r>
    </w:p>
    <w:p w14:paraId="5279D06B">
      <w:pPr>
        <w:spacing w:line="360" w:lineRule="auto"/>
        <w:ind w:firstLine="48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检查储瓶间及防护区温度、湿度符合设备要求（常规0℃～50℃），无积水、暴晒、粉尘堆积；柜体、钢瓶、管道、喷头无变形、锈蚀、破损、移位；设备标识、操作说明、警示标签齐全清晰。</w:t>
      </w:r>
    </w:p>
    <w:p w14:paraId="34A56B18">
      <w:pPr>
        <w:spacing w:line="360" w:lineRule="auto"/>
        <w:ind w:firstLine="48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②</w:t>
      </w:r>
      <w:r>
        <w:rPr>
          <w:rFonts w:hint="eastAsia" w:ascii="宋体" w:hAnsi="宋体" w:eastAsia="宋体" w:cs="宋体"/>
          <w:color w:val="auto"/>
          <w:sz w:val="24"/>
          <w:szCs w:val="24"/>
          <w:highlight w:val="none"/>
          <w:lang w:eastAsia="zh-CN"/>
        </w:rPr>
        <w:t xml:space="preserve"> 压力状态核查（核心项）</w:t>
      </w:r>
    </w:p>
    <w:p w14:paraId="638CB800">
      <w:pPr>
        <w:spacing w:line="360" w:lineRule="auto"/>
        <w:ind w:firstLine="48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查看钢瓶压力表指针稳定处于绿色正常区间；柜式七氟丙烷常温常压约0.8MPa，管网式驱动瓶压力约2.5MPa，以设备铭牌参数为准。压力偏低、指针回落、指针偏移红区，判定存在微渗漏，需立即查漏、补压、补剂。</w:t>
      </w:r>
    </w:p>
    <w:p w14:paraId="44224FB6">
      <w:pPr>
        <w:spacing w:line="360" w:lineRule="auto"/>
        <w:ind w:firstLine="48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③</w:t>
      </w:r>
      <w:r>
        <w:rPr>
          <w:rFonts w:hint="eastAsia" w:ascii="宋体" w:hAnsi="宋体" w:eastAsia="宋体" w:cs="宋体"/>
          <w:color w:val="auto"/>
          <w:sz w:val="24"/>
          <w:szCs w:val="24"/>
          <w:highlight w:val="none"/>
          <w:lang w:eastAsia="zh-CN"/>
        </w:rPr>
        <w:t xml:space="preserve"> 控制器与供电检查</w:t>
      </w:r>
    </w:p>
    <w:p w14:paraId="02C41AF7">
      <w:pPr>
        <w:spacing w:line="360" w:lineRule="auto"/>
        <w:ind w:firstLine="48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气体灭火控制器无故障、火警、屏蔽、欠压报错；主电、备电切换正常，蓄电池无鼓包、漏液；指示灯、声光报警、紧急启停按钮工作正常。</w:t>
      </w:r>
    </w:p>
    <w:p w14:paraId="60D949FD">
      <w:pPr>
        <w:spacing w:line="360" w:lineRule="auto"/>
        <w:ind w:firstLine="48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④</w:t>
      </w:r>
      <w:r>
        <w:rPr>
          <w:rFonts w:hint="eastAsia" w:ascii="宋体" w:hAnsi="宋体" w:eastAsia="宋体" w:cs="宋体"/>
          <w:color w:val="auto"/>
          <w:sz w:val="24"/>
          <w:szCs w:val="24"/>
          <w:highlight w:val="none"/>
          <w:lang w:eastAsia="zh-CN"/>
        </w:rPr>
        <w:t>喷头与防护区检查</w:t>
      </w:r>
    </w:p>
    <w:p w14:paraId="7B2A8E98">
      <w:pPr>
        <w:spacing w:line="360" w:lineRule="auto"/>
        <w:ind w:firstLine="48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喷头无堵塞、遮挡、油污，防护帽完好；防护区门窗、防火封堵、泄压口完好，无私自封堵、改动围护结构，确保灭火密闭空间达标。</w:t>
      </w:r>
    </w:p>
    <w:p w14:paraId="03B33C67">
      <w:pPr>
        <w:spacing w:line="360" w:lineRule="auto"/>
        <w:ind w:firstLine="48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2.7.1.2</w:t>
      </w:r>
      <w:r>
        <w:rPr>
          <w:rFonts w:hint="eastAsia" w:ascii="宋体" w:hAnsi="宋体" w:eastAsia="宋体" w:cs="宋体"/>
          <w:color w:val="auto"/>
          <w:sz w:val="24"/>
          <w:szCs w:val="24"/>
          <w:highlight w:val="none"/>
          <w:lang w:eastAsia="zh-CN"/>
        </w:rPr>
        <w:t>、季度维保</w:t>
      </w:r>
    </w:p>
    <w:p w14:paraId="42BC0600">
      <w:pPr>
        <w:spacing w:line="360" w:lineRule="auto"/>
        <w:ind w:firstLine="48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①</w:t>
      </w:r>
      <w:r>
        <w:rPr>
          <w:rFonts w:hint="eastAsia" w:ascii="宋体" w:hAnsi="宋体" w:eastAsia="宋体" w:cs="宋体"/>
          <w:color w:val="auto"/>
          <w:sz w:val="24"/>
          <w:szCs w:val="24"/>
          <w:highlight w:val="none"/>
          <w:lang w:eastAsia="zh-CN"/>
        </w:rPr>
        <w:t xml:space="preserve"> 检查管路、支架、固定件牢固无松动，管路无外力挤压、破损。</w:t>
      </w:r>
    </w:p>
    <w:p w14:paraId="6404C29A">
      <w:pPr>
        <w:spacing w:line="360" w:lineRule="auto"/>
        <w:ind w:firstLine="48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②</w:t>
      </w:r>
      <w:r>
        <w:rPr>
          <w:rFonts w:hint="eastAsia" w:ascii="宋体" w:hAnsi="宋体" w:eastAsia="宋体" w:cs="宋体"/>
          <w:color w:val="auto"/>
          <w:sz w:val="24"/>
          <w:szCs w:val="24"/>
          <w:highlight w:val="none"/>
          <w:lang w:eastAsia="zh-CN"/>
        </w:rPr>
        <w:t xml:space="preserve"> 测试机械应急启动装置，确保手动操作顺畅、无卡滞。</w:t>
      </w:r>
    </w:p>
    <w:p w14:paraId="6D22C325">
      <w:pPr>
        <w:spacing w:line="360" w:lineRule="auto"/>
        <w:ind w:firstLine="48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③</w:t>
      </w:r>
      <w:r>
        <w:rPr>
          <w:rFonts w:hint="eastAsia" w:ascii="宋体" w:hAnsi="宋体" w:eastAsia="宋体" w:cs="宋体"/>
          <w:color w:val="auto"/>
          <w:sz w:val="24"/>
          <w:szCs w:val="24"/>
          <w:highlight w:val="none"/>
          <w:lang w:eastAsia="zh-CN"/>
        </w:rPr>
        <w:t xml:space="preserve"> 核对系统联动线路接线牢固，无老化、脱落、破皮。</w:t>
      </w:r>
    </w:p>
    <w:p w14:paraId="31A91462">
      <w:pPr>
        <w:spacing w:line="360" w:lineRule="auto"/>
        <w:ind w:firstLine="48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④</w:t>
      </w:r>
      <w:r>
        <w:rPr>
          <w:rFonts w:hint="eastAsia" w:ascii="宋体" w:hAnsi="宋体" w:eastAsia="宋体" w:cs="宋体"/>
          <w:color w:val="auto"/>
          <w:sz w:val="24"/>
          <w:szCs w:val="24"/>
          <w:highlight w:val="none"/>
          <w:lang w:eastAsia="zh-CN"/>
        </w:rPr>
        <w:t>清理设备表面及喷头周边杂物、积尘，保证喷射无遮挡。</w:t>
      </w:r>
    </w:p>
    <w:p w14:paraId="4DA6D2ED">
      <w:pPr>
        <w:spacing w:line="360" w:lineRule="auto"/>
        <w:ind w:firstLine="48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2.7.1.3</w:t>
      </w:r>
      <w:r>
        <w:rPr>
          <w:rFonts w:hint="eastAsia" w:ascii="宋体" w:hAnsi="宋体" w:eastAsia="宋体" w:cs="宋体"/>
          <w:color w:val="auto"/>
          <w:sz w:val="24"/>
          <w:szCs w:val="24"/>
          <w:highlight w:val="none"/>
          <w:lang w:eastAsia="zh-CN"/>
        </w:rPr>
        <w:t>年度全面维保</w:t>
      </w:r>
    </w:p>
    <w:p w14:paraId="54B405DE">
      <w:pPr>
        <w:spacing w:line="360" w:lineRule="auto"/>
        <w:ind w:firstLine="48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①</w:t>
      </w:r>
      <w:r>
        <w:rPr>
          <w:rFonts w:hint="eastAsia" w:ascii="宋体" w:hAnsi="宋体" w:eastAsia="宋体" w:cs="宋体"/>
          <w:color w:val="auto"/>
          <w:sz w:val="24"/>
          <w:szCs w:val="24"/>
          <w:highlight w:val="none"/>
          <w:lang w:eastAsia="zh-CN"/>
        </w:rPr>
        <w:t xml:space="preserve"> 系统功能联动试验</w:t>
      </w:r>
    </w:p>
    <w:p w14:paraId="143EAE2B">
      <w:pPr>
        <w:spacing w:line="360" w:lineRule="auto"/>
        <w:ind w:firstLine="48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开展模拟火警联动测试，验证烟温探测器报警、声光启动、延时倒计时、关门关风机、泄压联动、系统启停逻辑完全正常。</w:t>
      </w:r>
    </w:p>
    <w:p w14:paraId="36208AB2">
      <w:pPr>
        <w:spacing w:line="360" w:lineRule="auto"/>
        <w:ind w:firstLine="48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②</w:t>
      </w:r>
      <w:r>
        <w:rPr>
          <w:rFonts w:hint="eastAsia" w:ascii="宋体" w:hAnsi="宋体" w:eastAsia="宋体" w:cs="宋体"/>
          <w:color w:val="auto"/>
          <w:sz w:val="24"/>
          <w:szCs w:val="24"/>
          <w:highlight w:val="none"/>
          <w:lang w:eastAsia="zh-CN"/>
        </w:rPr>
        <w:t>电磁驱动装置检测</w:t>
      </w:r>
    </w:p>
    <w:p w14:paraId="085DD8EE">
      <w:pPr>
        <w:spacing w:line="360" w:lineRule="auto"/>
        <w:ind w:firstLine="48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对电磁阀、启动器进行通电动作试验，测试动作灵敏可靠，电阻值正常，无卡滞、不动作、误动作隐患。</w:t>
      </w:r>
    </w:p>
    <w:p w14:paraId="7D9905BC">
      <w:pPr>
        <w:spacing w:line="360" w:lineRule="auto"/>
        <w:ind w:firstLine="48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③</w:t>
      </w:r>
      <w:r>
        <w:rPr>
          <w:rFonts w:hint="eastAsia" w:ascii="宋体" w:hAnsi="宋体" w:eastAsia="宋体" w:cs="宋体"/>
          <w:color w:val="auto"/>
          <w:sz w:val="24"/>
          <w:szCs w:val="24"/>
          <w:highlight w:val="none"/>
          <w:lang w:eastAsia="zh-CN"/>
        </w:rPr>
        <w:t xml:space="preserve"> 药剂与钢瓶核验</w:t>
      </w:r>
    </w:p>
    <w:p w14:paraId="5CDB8426">
      <w:pPr>
        <w:spacing w:line="360" w:lineRule="auto"/>
        <w:ind w:firstLine="48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对储瓶进行称重核验，对比初始充装量，重量偏差超标需补装药剂；可按需委托第三方抽检药剂纯度，确保符合国标灭火效能要求。</w:t>
      </w:r>
    </w:p>
    <w:p w14:paraId="545F4C24">
      <w:pPr>
        <w:spacing w:line="360" w:lineRule="auto"/>
        <w:ind w:firstLine="48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④</w:t>
      </w:r>
      <w:r>
        <w:rPr>
          <w:rFonts w:hint="eastAsia" w:ascii="宋体" w:hAnsi="宋体" w:eastAsia="宋体" w:cs="宋体"/>
          <w:color w:val="auto"/>
          <w:sz w:val="24"/>
          <w:szCs w:val="24"/>
          <w:highlight w:val="none"/>
          <w:lang w:eastAsia="zh-CN"/>
        </w:rPr>
        <w:t>全系统隐患排查</w:t>
      </w:r>
    </w:p>
    <w:p w14:paraId="6A82F3F1">
      <w:pPr>
        <w:spacing w:line="360" w:lineRule="auto"/>
        <w:ind w:firstLine="48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全面排查阀门、密封件、接头、管路密封性；排查控制器故障记录，清零历史故障，整改线路及设备隐患。</w:t>
      </w:r>
    </w:p>
    <w:p w14:paraId="396FAC56">
      <w:pPr>
        <w:numPr>
          <w:ilvl w:val="0"/>
          <w:numId w:val="0"/>
        </w:numPr>
        <w:spacing w:line="360" w:lineRule="auto"/>
        <w:ind w:left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2.7.1.3、维保台账</w:t>
      </w:r>
    </w:p>
    <w:p w14:paraId="47D1522A">
      <w:pPr>
        <w:spacing w:line="360" w:lineRule="auto"/>
        <w:ind w:firstLine="48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建立七氟丙烷灭火装置专项维保台账，完整记录日常检查、季度、年度维保记录，留存年检报告，故障整改记录，以备消防检查及溯源。</w:t>
      </w:r>
    </w:p>
    <w:p w14:paraId="5BB1870D">
      <w:pPr>
        <w:pStyle w:val="5"/>
        <w:spacing w:line="360" w:lineRule="auto"/>
        <w:rPr>
          <w:rFonts w:hint="eastAsia" w:ascii="宋体" w:hAnsi="宋体" w:eastAsia="宋体" w:cs="宋体"/>
          <w:color w:val="auto"/>
          <w:kern w:val="0"/>
          <w:sz w:val="24"/>
          <w:szCs w:val="24"/>
          <w:highlight w:val="yellow"/>
          <w:lang w:val="en-US" w:eastAsia="zh-CN" w:bidi="ar-SA"/>
        </w:rPr>
      </w:pPr>
      <w:r>
        <w:rPr>
          <w:rFonts w:hint="eastAsia" w:ascii="宋体" w:hAnsi="宋体" w:eastAsia="宋体" w:cs="宋体"/>
          <w:b w:val="0"/>
          <w:bCs/>
          <w:color w:val="auto"/>
          <w:sz w:val="24"/>
          <w:szCs w:val="24"/>
          <w:highlight w:val="none"/>
          <w:lang w:val="en-US" w:eastAsia="zh-CN"/>
        </w:rPr>
        <w:t>2.7.2其他</w:t>
      </w:r>
      <w:r>
        <w:rPr>
          <w:rFonts w:hint="eastAsia" w:ascii="宋体" w:hAnsi="宋体" w:eastAsia="宋体" w:cs="宋体"/>
          <w:i w:val="0"/>
          <w:iCs w:val="0"/>
          <w:color w:val="auto"/>
          <w:sz w:val="24"/>
          <w:szCs w:val="24"/>
          <w:highlight w:val="none"/>
          <w:lang w:val="zh-CN" w:eastAsia="zh-CN"/>
        </w:rPr>
        <w:t>设备运维服务。</w:t>
      </w:r>
    </w:p>
    <w:tbl>
      <w:tblPr>
        <w:tblStyle w:val="22"/>
        <w:tblW w:w="91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7"/>
        <w:gridCol w:w="1315"/>
        <w:gridCol w:w="1783"/>
        <w:gridCol w:w="3925"/>
        <w:gridCol w:w="1387"/>
      </w:tblGrid>
      <w:tr w14:paraId="7EDB7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shd w:val="clear" w:color="auto" w:fill="FFFFFF"/>
            <w:noWrap w:val="0"/>
            <w:vAlign w:val="center"/>
          </w:tcPr>
          <w:p w14:paraId="405D39BC">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序号</w:t>
            </w:r>
          </w:p>
        </w:tc>
        <w:tc>
          <w:tcPr>
            <w:tcW w:w="1315" w:type="dxa"/>
            <w:shd w:val="clear" w:color="auto" w:fill="FFFFFF"/>
            <w:noWrap w:val="0"/>
            <w:vAlign w:val="center"/>
          </w:tcPr>
          <w:p w14:paraId="2551BE04">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项目</w:t>
            </w:r>
          </w:p>
        </w:tc>
        <w:tc>
          <w:tcPr>
            <w:tcW w:w="1783" w:type="dxa"/>
            <w:shd w:val="clear" w:color="auto" w:fill="FFFFFF"/>
            <w:noWrap w:val="0"/>
            <w:vAlign w:val="center"/>
          </w:tcPr>
          <w:p w14:paraId="613B573F">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内容</w:t>
            </w:r>
          </w:p>
        </w:tc>
        <w:tc>
          <w:tcPr>
            <w:tcW w:w="3925" w:type="dxa"/>
            <w:shd w:val="clear" w:color="auto" w:fill="FFFFFF"/>
            <w:noWrap w:val="0"/>
            <w:vAlign w:val="center"/>
          </w:tcPr>
          <w:p w14:paraId="2CF5631C">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形式</w:t>
            </w:r>
          </w:p>
        </w:tc>
        <w:tc>
          <w:tcPr>
            <w:tcW w:w="1387" w:type="dxa"/>
            <w:shd w:val="clear" w:color="auto" w:fill="FFFFFF"/>
            <w:noWrap w:val="0"/>
            <w:vAlign w:val="center"/>
          </w:tcPr>
          <w:p w14:paraId="0CB5C1E0">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备注</w:t>
            </w:r>
          </w:p>
        </w:tc>
      </w:tr>
      <w:tr w14:paraId="244F2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vMerge w:val="restart"/>
            <w:shd w:val="clear" w:color="auto" w:fill="FFFFFF"/>
            <w:noWrap w:val="0"/>
            <w:vAlign w:val="center"/>
          </w:tcPr>
          <w:p w14:paraId="35E65944">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1</w:t>
            </w:r>
          </w:p>
        </w:tc>
        <w:tc>
          <w:tcPr>
            <w:tcW w:w="1315" w:type="dxa"/>
            <w:vMerge w:val="restart"/>
            <w:shd w:val="clear" w:color="auto" w:fill="FFFFFF"/>
            <w:noWrap w:val="0"/>
            <w:vAlign w:val="center"/>
          </w:tcPr>
          <w:p w14:paraId="219044B8">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机房场地监控系统</w:t>
            </w:r>
          </w:p>
        </w:tc>
        <w:tc>
          <w:tcPr>
            <w:tcW w:w="1783" w:type="dxa"/>
            <w:shd w:val="clear" w:color="auto" w:fill="FFFFFF"/>
            <w:noWrap w:val="0"/>
            <w:vAlign w:val="center"/>
          </w:tcPr>
          <w:p w14:paraId="47BFDB26">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温湿度测试</w:t>
            </w:r>
          </w:p>
        </w:tc>
        <w:tc>
          <w:tcPr>
            <w:tcW w:w="3925" w:type="dxa"/>
            <w:shd w:val="clear" w:color="auto" w:fill="FFFFFF"/>
            <w:noWrap w:val="0"/>
            <w:vAlign w:val="center"/>
          </w:tcPr>
          <w:p w14:paraId="4D9FA831">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检测精密空调与监控主机采样数据，进行比较、调整、校对；检测机房内其它温湿度传感器数据；检测报警线路信号连接的情况。</w:t>
            </w:r>
          </w:p>
        </w:tc>
        <w:tc>
          <w:tcPr>
            <w:tcW w:w="1387" w:type="dxa"/>
            <w:shd w:val="clear" w:color="auto" w:fill="FFFFFF"/>
            <w:noWrap w:val="0"/>
            <w:vAlign w:val="center"/>
          </w:tcPr>
          <w:p w14:paraId="0A41B3E3">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lang w:eastAsia="zh-CN"/>
              </w:rPr>
              <w:t>每</w:t>
            </w:r>
            <w:r>
              <w:rPr>
                <w:rFonts w:hint="eastAsia" w:ascii="宋体" w:hAnsi="宋体" w:eastAsia="宋体" w:cs="宋体"/>
                <w:i w:val="0"/>
                <w:iCs w:val="0"/>
                <w:color w:val="auto"/>
                <w:sz w:val="24"/>
                <w:szCs w:val="24"/>
                <w:lang w:val="en-US" w:eastAsia="zh-CN"/>
              </w:rPr>
              <w:t>季度</w:t>
            </w:r>
            <w:r>
              <w:rPr>
                <w:rFonts w:hint="eastAsia" w:ascii="宋体" w:hAnsi="宋体" w:eastAsia="宋体" w:cs="宋体"/>
                <w:i w:val="0"/>
                <w:iCs w:val="0"/>
                <w:color w:val="auto"/>
                <w:sz w:val="24"/>
                <w:szCs w:val="24"/>
              </w:rPr>
              <w:t>巡检一次</w:t>
            </w:r>
          </w:p>
        </w:tc>
      </w:tr>
      <w:tr w14:paraId="3BE63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vMerge w:val="continue"/>
            <w:shd w:val="clear" w:color="auto" w:fill="FFFFFF"/>
            <w:noWrap w:val="0"/>
            <w:vAlign w:val="center"/>
          </w:tcPr>
          <w:p w14:paraId="37123018">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1315" w:type="dxa"/>
            <w:vMerge w:val="continue"/>
            <w:shd w:val="clear" w:color="auto" w:fill="FFFFFF"/>
            <w:noWrap w:val="0"/>
            <w:vAlign w:val="center"/>
          </w:tcPr>
          <w:p w14:paraId="397CF274">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1783" w:type="dxa"/>
            <w:vMerge w:val="restart"/>
            <w:shd w:val="clear" w:color="auto" w:fill="FFFFFF"/>
            <w:noWrap w:val="0"/>
            <w:vAlign w:val="center"/>
          </w:tcPr>
          <w:p w14:paraId="5DD2823D">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漏水检测系统测试</w:t>
            </w:r>
          </w:p>
        </w:tc>
        <w:tc>
          <w:tcPr>
            <w:tcW w:w="3925" w:type="dxa"/>
            <w:vMerge w:val="restart"/>
            <w:shd w:val="clear" w:color="auto" w:fill="FFFFFF"/>
            <w:noWrap w:val="0"/>
            <w:vAlign w:val="center"/>
          </w:tcPr>
          <w:p w14:paraId="386E635E">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实际用水检测报警位置的准确性；传感线路的除尘，清洁；检测报警线路信号连接的情况。</w:t>
            </w:r>
          </w:p>
        </w:tc>
        <w:tc>
          <w:tcPr>
            <w:tcW w:w="1387" w:type="dxa"/>
            <w:shd w:val="clear" w:color="auto" w:fill="FFFFFF"/>
            <w:noWrap w:val="0"/>
            <w:vAlign w:val="center"/>
          </w:tcPr>
          <w:p w14:paraId="4347816F">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lang w:eastAsia="zh-CN"/>
              </w:rPr>
              <w:t>每</w:t>
            </w:r>
            <w:r>
              <w:rPr>
                <w:rFonts w:hint="eastAsia" w:ascii="宋体" w:hAnsi="宋体" w:eastAsia="宋体" w:cs="宋体"/>
                <w:i w:val="0"/>
                <w:iCs w:val="0"/>
                <w:color w:val="auto"/>
                <w:sz w:val="24"/>
                <w:szCs w:val="24"/>
                <w:lang w:val="en-US" w:eastAsia="zh-CN"/>
              </w:rPr>
              <w:t>季度</w:t>
            </w:r>
            <w:r>
              <w:rPr>
                <w:rFonts w:hint="eastAsia" w:ascii="宋体" w:hAnsi="宋体" w:eastAsia="宋体" w:cs="宋体"/>
                <w:i w:val="0"/>
                <w:iCs w:val="0"/>
                <w:color w:val="auto"/>
                <w:sz w:val="24"/>
                <w:szCs w:val="24"/>
              </w:rPr>
              <w:t>巡检一次</w:t>
            </w:r>
          </w:p>
        </w:tc>
      </w:tr>
      <w:tr w14:paraId="107A3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vMerge w:val="continue"/>
            <w:shd w:val="clear" w:color="auto" w:fill="FFFFFF"/>
            <w:noWrap w:val="0"/>
            <w:vAlign w:val="center"/>
          </w:tcPr>
          <w:p w14:paraId="40DEF705">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1315" w:type="dxa"/>
            <w:vMerge w:val="continue"/>
            <w:shd w:val="clear" w:color="auto" w:fill="FFFFFF"/>
            <w:noWrap w:val="0"/>
            <w:vAlign w:val="center"/>
          </w:tcPr>
          <w:p w14:paraId="349E3CBA">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1783" w:type="dxa"/>
            <w:vMerge w:val="continue"/>
            <w:shd w:val="clear" w:color="auto" w:fill="FFFFFF"/>
            <w:noWrap w:val="0"/>
            <w:vAlign w:val="center"/>
          </w:tcPr>
          <w:p w14:paraId="3B35F9F1">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3925" w:type="dxa"/>
            <w:vMerge w:val="continue"/>
            <w:shd w:val="clear" w:color="auto" w:fill="FFFFFF"/>
            <w:noWrap w:val="0"/>
            <w:vAlign w:val="center"/>
          </w:tcPr>
          <w:p w14:paraId="20D703C8">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1387" w:type="dxa"/>
            <w:shd w:val="clear" w:color="auto" w:fill="FFFFFF"/>
            <w:noWrap w:val="0"/>
            <w:vAlign w:val="center"/>
          </w:tcPr>
          <w:p w14:paraId="7776EAAF">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lang w:eastAsia="zh-CN"/>
              </w:rPr>
              <w:t>每</w:t>
            </w:r>
            <w:r>
              <w:rPr>
                <w:rFonts w:hint="eastAsia" w:ascii="宋体" w:hAnsi="宋体" w:eastAsia="宋体" w:cs="宋体"/>
                <w:i w:val="0"/>
                <w:iCs w:val="0"/>
                <w:color w:val="auto"/>
                <w:sz w:val="24"/>
                <w:szCs w:val="24"/>
                <w:lang w:val="en-US" w:eastAsia="zh-CN"/>
              </w:rPr>
              <w:t>季度</w:t>
            </w:r>
            <w:r>
              <w:rPr>
                <w:rFonts w:hint="eastAsia" w:ascii="宋体" w:hAnsi="宋体" w:eastAsia="宋体" w:cs="宋体"/>
                <w:i w:val="0"/>
                <w:iCs w:val="0"/>
                <w:color w:val="auto"/>
                <w:sz w:val="24"/>
                <w:szCs w:val="24"/>
              </w:rPr>
              <w:t>巡检一次</w:t>
            </w:r>
          </w:p>
        </w:tc>
      </w:tr>
      <w:tr w14:paraId="631C7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vMerge w:val="continue"/>
            <w:shd w:val="clear" w:color="auto" w:fill="FFFFFF"/>
            <w:noWrap w:val="0"/>
            <w:vAlign w:val="center"/>
          </w:tcPr>
          <w:p w14:paraId="22C2B243">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1315" w:type="dxa"/>
            <w:vMerge w:val="continue"/>
            <w:shd w:val="clear" w:color="auto" w:fill="FFFFFF"/>
            <w:noWrap w:val="0"/>
            <w:vAlign w:val="center"/>
          </w:tcPr>
          <w:p w14:paraId="7958F7EF">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1783" w:type="dxa"/>
            <w:shd w:val="clear" w:color="auto" w:fill="FFFFFF"/>
            <w:noWrap w:val="0"/>
            <w:vAlign w:val="center"/>
          </w:tcPr>
          <w:p w14:paraId="6093216D">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电量参数对比测试</w:t>
            </w:r>
          </w:p>
        </w:tc>
        <w:tc>
          <w:tcPr>
            <w:tcW w:w="3925" w:type="dxa"/>
            <w:shd w:val="clear" w:color="auto" w:fill="FFFFFF"/>
            <w:noWrap w:val="0"/>
            <w:vAlign w:val="center"/>
          </w:tcPr>
          <w:p w14:paraId="5C7C9D3D">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检测配电柜与监控主机实测数据，进行对比、校对、调整；检测智能表头通讯接口、信号连接情况；检测监控主机接收模块、信号连接情况。</w:t>
            </w:r>
          </w:p>
        </w:tc>
        <w:tc>
          <w:tcPr>
            <w:tcW w:w="1387" w:type="dxa"/>
            <w:shd w:val="clear" w:color="auto" w:fill="FFFFFF"/>
            <w:noWrap w:val="0"/>
            <w:vAlign w:val="center"/>
          </w:tcPr>
          <w:p w14:paraId="589F10CB">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lang w:eastAsia="zh-CN"/>
              </w:rPr>
              <w:t>每</w:t>
            </w:r>
            <w:r>
              <w:rPr>
                <w:rFonts w:hint="eastAsia" w:ascii="宋体" w:hAnsi="宋体" w:eastAsia="宋体" w:cs="宋体"/>
                <w:i w:val="0"/>
                <w:iCs w:val="0"/>
                <w:color w:val="auto"/>
                <w:sz w:val="24"/>
                <w:szCs w:val="24"/>
                <w:lang w:val="en-US" w:eastAsia="zh-CN"/>
              </w:rPr>
              <w:t>季度</w:t>
            </w:r>
            <w:r>
              <w:rPr>
                <w:rFonts w:hint="eastAsia" w:ascii="宋体" w:hAnsi="宋体" w:eastAsia="宋体" w:cs="宋体"/>
                <w:i w:val="0"/>
                <w:iCs w:val="0"/>
                <w:color w:val="auto"/>
                <w:sz w:val="24"/>
                <w:szCs w:val="24"/>
              </w:rPr>
              <w:t>巡检一次</w:t>
            </w:r>
          </w:p>
        </w:tc>
      </w:tr>
      <w:tr w14:paraId="021F5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57" w:type="dxa"/>
            <w:vMerge w:val="continue"/>
            <w:shd w:val="clear" w:color="auto" w:fill="FFFFFF"/>
            <w:noWrap w:val="0"/>
            <w:vAlign w:val="center"/>
          </w:tcPr>
          <w:p w14:paraId="760D85F6">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1315" w:type="dxa"/>
            <w:vMerge w:val="continue"/>
            <w:shd w:val="clear" w:color="auto" w:fill="FFFFFF"/>
            <w:noWrap w:val="0"/>
            <w:vAlign w:val="center"/>
          </w:tcPr>
          <w:p w14:paraId="34CE9EBB">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1783" w:type="dxa"/>
            <w:vMerge w:val="restart"/>
            <w:shd w:val="clear" w:color="auto" w:fill="FFFFFF"/>
            <w:noWrap w:val="0"/>
            <w:vAlign w:val="center"/>
          </w:tcPr>
          <w:p w14:paraId="4371B576">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UPS性能检查</w:t>
            </w:r>
          </w:p>
        </w:tc>
        <w:tc>
          <w:tcPr>
            <w:tcW w:w="3925" w:type="dxa"/>
            <w:vMerge w:val="restart"/>
            <w:shd w:val="clear" w:color="auto" w:fill="FFFFFF"/>
            <w:noWrap w:val="0"/>
            <w:vAlign w:val="center"/>
          </w:tcPr>
          <w:p w14:paraId="2E1BA378">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检测UPS与监控主机实测数据，进行对比、校对、调整；检查警报参数设定、报警记录、校对、调整；检测通讯模块、协议、信号连接情况。</w:t>
            </w:r>
          </w:p>
        </w:tc>
        <w:tc>
          <w:tcPr>
            <w:tcW w:w="1387" w:type="dxa"/>
            <w:vMerge w:val="restart"/>
            <w:shd w:val="clear" w:color="auto" w:fill="FFFFFF"/>
            <w:noWrap w:val="0"/>
            <w:vAlign w:val="center"/>
          </w:tcPr>
          <w:p w14:paraId="643C56D7">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lang w:eastAsia="zh-CN"/>
              </w:rPr>
              <w:t>每</w:t>
            </w:r>
            <w:r>
              <w:rPr>
                <w:rFonts w:hint="eastAsia" w:ascii="宋体" w:hAnsi="宋体" w:eastAsia="宋体" w:cs="宋体"/>
                <w:i w:val="0"/>
                <w:iCs w:val="0"/>
                <w:color w:val="auto"/>
                <w:sz w:val="24"/>
                <w:szCs w:val="24"/>
                <w:lang w:val="en-US" w:eastAsia="zh-CN"/>
              </w:rPr>
              <w:t>季度</w:t>
            </w:r>
            <w:r>
              <w:rPr>
                <w:rFonts w:hint="eastAsia" w:ascii="宋体" w:hAnsi="宋体" w:eastAsia="宋体" w:cs="宋体"/>
                <w:i w:val="0"/>
                <w:iCs w:val="0"/>
                <w:color w:val="auto"/>
                <w:sz w:val="24"/>
                <w:szCs w:val="24"/>
              </w:rPr>
              <w:t>巡检一次</w:t>
            </w:r>
          </w:p>
        </w:tc>
      </w:tr>
      <w:tr w14:paraId="6A5B4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57" w:type="dxa"/>
            <w:vMerge w:val="continue"/>
            <w:shd w:val="clear" w:color="auto" w:fill="FFFFFF"/>
            <w:noWrap w:val="0"/>
            <w:vAlign w:val="center"/>
          </w:tcPr>
          <w:p w14:paraId="0F5C7769">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1315" w:type="dxa"/>
            <w:vMerge w:val="continue"/>
            <w:shd w:val="clear" w:color="auto" w:fill="FFFFFF"/>
            <w:noWrap w:val="0"/>
            <w:vAlign w:val="center"/>
          </w:tcPr>
          <w:p w14:paraId="44620F2B">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1783" w:type="dxa"/>
            <w:vMerge w:val="continue"/>
            <w:shd w:val="clear" w:color="auto" w:fill="FFFFFF"/>
            <w:noWrap w:val="0"/>
            <w:vAlign w:val="center"/>
          </w:tcPr>
          <w:p w14:paraId="167984CF">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3925" w:type="dxa"/>
            <w:vMerge w:val="continue"/>
            <w:shd w:val="clear" w:color="auto" w:fill="FFFFFF"/>
            <w:noWrap w:val="0"/>
            <w:vAlign w:val="center"/>
          </w:tcPr>
          <w:p w14:paraId="47A03E7F">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1387" w:type="dxa"/>
            <w:vMerge w:val="continue"/>
            <w:shd w:val="clear" w:color="auto" w:fill="FFFFFF"/>
            <w:noWrap w:val="0"/>
            <w:vAlign w:val="center"/>
          </w:tcPr>
          <w:p w14:paraId="0F47D717">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r>
      <w:tr w14:paraId="48BFC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vMerge w:val="continue"/>
            <w:shd w:val="clear" w:color="auto" w:fill="FFFFFF"/>
            <w:noWrap w:val="0"/>
            <w:vAlign w:val="center"/>
          </w:tcPr>
          <w:p w14:paraId="40789621">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1315" w:type="dxa"/>
            <w:vMerge w:val="continue"/>
            <w:shd w:val="clear" w:color="auto" w:fill="FFFFFF"/>
            <w:noWrap w:val="0"/>
            <w:vAlign w:val="center"/>
          </w:tcPr>
          <w:p w14:paraId="7E6DF715">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1783" w:type="dxa"/>
            <w:shd w:val="clear" w:color="auto" w:fill="FFFFFF"/>
            <w:noWrap w:val="0"/>
            <w:vAlign w:val="center"/>
          </w:tcPr>
          <w:p w14:paraId="6618C85B">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电池性能检查</w:t>
            </w:r>
          </w:p>
        </w:tc>
        <w:tc>
          <w:tcPr>
            <w:tcW w:w="3925" w:type="dxa"/>
            <w:shd w:val="clear" w:color="auto" w:fill="FFFFFF"/>
            <w:noWrap w:val="0"/>
            <w:vAlign w:val="center"/>
          </w:tcPr>
          <w:p w14:paraId="7A55B7BF">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检查电池的电极有无腐蚀、结晶、工作温度、工作电压、漏液、鼓胀。</w:t>
            </w:r>
          </w:p>
        </w:tc>
        <w:tc>
          <w:tcPr>
            <w:tcW w:w="1387" w:type="dxa"/>
            <w:shd w:val="clear" w:color="auto" w:fill="FFFFFF"/>
            <w:noWrap w:val="0"/>
            <w:vAlign w:val="center"/>
          </w:tcPr>
          <w:p w14:paraId="2E3FDA15">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lang w:eastAsia="zh-CN"/>
              </w:rPr>
              <w:t>每</w:t>
            </w:r>
            <w:r>
              <w:rPr>
                <w:rFonts w:hint="eastAsia" w:ascii="宋体" w:hAnsi="宋体" w:eastAsia="宋体" w:cs="宋体"/>
                <w:i w:val="0"/>
                <w:iCs w:val="0"/>
                <w:color w:val="auto"/>
                <w:sz w:val="24"/>
                <w:szCs w:val="24"/>
                <w:lang w:val="en-US" w:eastAsia="zh-CN"/>
              </w:rPr>
              <w:t>季度</w:t>
            </w:r>
            <w:r>
              <w:rPr>
                <w:rFonts w:hint="eastAsia" w:ascii="宋体" w:hAnsi="宋体" w:eastAsia="宋体" w:cs="宋体"/>
                <w:i w:val="0"/>
                <w:iCs w:val="0"/>
                <w:color w:val="auto"/>
                <w:sz w:val="24"/>
                <w:szCs w:val="24"/>
              </w:rPr>
              <w:t>巡检一次</w:t>
            </w:r>
          </w:p>
        </w:tc>
      </w:tr>
      <w:tr w14:paraId="3236F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757" w:type="dxa"/>
            <w:vMerge w:val="continue"/>
            <w:shd w:val="clear" w:color="auto" w:fill="FFFFFF"/>
            <w:noWrap w:val="0"/>
            <w:vAlign w:val="center"/>
          </w:tcPr>
          <w:p w14:paraId="2BBD5239">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1315" w:type="dxa"/>
            <w:vMerge w:val="continue"/>
            <w:shd w:val="clear" w:color="auto" w:fill="FFFFFF"/>
            <w:noWrap w:val="0"/>
            <w:vAlign w:val="center"/>
          </w:tcPr>
          <w:p w14:paraId="192F21AF">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1783" w:type="dxa"/>
            <w:shd w:val="clear" w:color="auto" w:fill="FFFFFF"/>
            <w:noWrap w:val="0"/>
            <w:vAlign w:val="center"/>
          </w:tcPr>
          <w:p w14:paraId="65DEBD40">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空调性能检查</w:t>
            </w:r>
          </w:p>
        </w:tc>
        <w:tc>
          <w:tcPr>
            <w:tcW w:w="3925" w:type="dxa"/>
            <w:shd w:val="clear" w:color="auto" w:fill="FFFFFF"/>
            <w:noWrap w:val="0"/>
            <w:vAlign w:val="center"/>
          </w:tcPr>
          <w:p w14:paraId="61084450">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检测精密空调与监控主机实测数据，进行对比、校对、调整；检查报警参数设定、报警记录、校对、调整；检测通讯模块、协议、信号连接情况；检测精密空调管路有无渗漏、滴水、锈蚀。</w:t>
            </w:r>
          </w:p>
        </w:tc>
        <w:tc>
          <w:tcPr>
            <w:tcW w:w="1387" w:type="dxa"/>
            <w:shd w:val="clear" w:color="auto" w:fill="FFFFFF"/>
            <w:noWrap w:val="0"/>
            <w:vAlign w:val="center"/>
          </w:tcPr>
          <w:p w14:paraId="5FCDF709">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lang w:eastAsia="zh-CN"/>
              </w:rPr>
              <w:t>每</w:t>
            </w:r>
            <w:r>
              <w:rPr>
                <w:rFonts w:hint="eastAsia" w:ascii="宋体" w:hAnsi="宋体" w:eastAsia="宋体" w:cs="宋体"/>
                <w:i w:val="0"/>
                <w:iCs w:val="0"/>
                <w:color w:val="auto"/>
                <w:sz w:val="24"/>
                <w:szCs w:val="24"/>
                <w:lang w:val="en-US" w:eastAsia="zh-CN"/>
              </w:rPr>
              <w:t>季度</w:t>
            </w:r>
            <w:r>
              <w:rPr>
                <w:rFonts w:hint="eastAsia" w:ascii="宋体" w:hAnsi="宋体" w:eastAsia="宋体" w:cs="宋体"/>
                <w:i w:val="0"/>
                <w:iCs w:val="0"/>
                <w:color w:val="auto"/>
                <w:sz w:val="24"/>
                <w:szCs w:val="24"/>
              </w:rPr>
              <w:t>巡检一次，每半年精密空调安全检查一次</w:t>
            </w:r>
          </w:p>
        </w:tc>
      </w:tr>
      <w:tr w14:paraId="7C9CB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vMerge w:val="continue"/>
            <w:shd w:val="clear" w:color="auto" w:fill="FFFFFF"/>
            <w:noWrap w:val="0"/>
            <w:vAlign w:val="center"/>
          </w:tcPr>
          <w:p w14:paraId="49FF7CC0">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1315" w:type="dxa"/>
            <w:vMerge w:val="continue"/>
            <w:shd w:val="clear" w:color="auto" w:fill="FFFFFF"/>
            <w:noWrap w:val="0"/>
            <w:vAlign w:val="center"/>
          </w:tcPr>
          <w:p w14:paraId="2C24052A">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1783" w:type="dxa"/>
            <w:shd w:val="clear" w:color="auto" w:fill="FFFFFF"/>
            <w:noWrap w:val="0"/>
            <w:vAlign w:val="center"/>
          </w:tcPr>
          <w:p w14:paraId="1C456304">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短信模块维护</w:t>
            </w:r>
          </w:p>
        </w:tc>
        <w:tc>
          <w:tcPr>
            <w:tcW w:w="3925" w:type="dxa"/>
            <w:shd w:val="clear" w:color="auto" w:fill="FFFFFF"/>
            <w:noWrap w:val="0"/>
            <w:vAlign w:val="center"/>
          </w:tcPr>
          <w:p w14:paraId="6E31963A">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对短信模块的短信收发功能进行维护，其中包括提供短信卡，该卡能提供每月至少400条短信，且该卡所产生的任何费用包含在本项目包内，并确保1年内短信发送平台正常使用。</w:t>
            </w:r>
          </w:p>
        </w:tc>
        <w:tc>
          <w:tcPr>
            <w:tcW w:w="1387" w:type="dxa"/>
            <w:shd w:val="clear" w:color="auto" w:fill="FFFFFF"/>
            <w:noWrap w:val="0"/>
            <w:vAlign w:val="center"/>
          </w:tcPr>
          <w:p w14:paraId="432E87EC">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lang w:eastAsia="zh-CN"/>
              </w:rPr>
              <w:t>每</w:t>
            </w:r>
            <w:r>
              <w:rPr>
                <w:rFonts w:hint="eastAsia" w:ascii="宋体" w:hAnsi="宋体" w:eastAsia="宋体" w:cs="宋体"/>
                <w:i w:val="0"/>
                <w:iCs w:val="0"/>
                <w:color w:val="auto"/>
                <w:sz w:val="24"/>
                <w:szCs w:val="24"/>
                <w:lang w:val="en-US" w:eastAsia="zh-CN"/>
              </w:rPr>
              <w:t>季度</w:t>
            </w:r>
            <w:r>
              <w:rPr>
                <w:rFonts w:hint="eastAsia" w:ascii="宋体" w:hAnsi="宋体" w:eastAsia="宋体" w:cs="宋体"/>
                <w:i w:val="0"/>
                <w:iCs w:val="0"/>
                <w:color w:val="auto"/>
                <w:sz w:val="24"/>
                <w:szCs w:val="24"/>
              </w:rPr>
              <w:t>检查一次短信收发功能</w:t>
            </w:r>
          </w:p>
        </w:tc>
      </w:tr>
      <w:tr w14:paraId="1AE3D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vMerge w:val="continue"/>
            <w:shd w:val="clear" w:color="auto" w:fill="FFFFFF"/>
            <w:noWrap w:val="0"/>
            <w:vAlign w:val="center"/>
          </w:tcPr>
          <w:p w14:paraId="46ED7C3F">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1315" w:type="dxa"/>
            <w:vMerge w:val="continue"/>
            <w:shd w:val="clear" w:color="auto" w:fill="FFFFFF"/>
            <w:noWrap w:val="0"/>
            <w:vAlign w:val="center"/>
          </w:tcPr>
          <w:p w14:paraId="312AFE9B">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1783" w:type="dxa"/>
            <w:shd w:val="clear" w:color="auto" w:fill="FFFFFF"/>
            <w:noWrap w:val="0"/>
            <w:vAlign w:val="center"/>
          </w:tcPr>
          <w:p w14:paraId="5F581337">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lang w:val="en-US" w:eastAsia="zh-CN"/>
              </w:rPr>
              <w:t>带电清洗服务</w:t>
            </w:r>
          </w:p>
        </w:tc>
        <w:tc>
          <w:tcPr>
            <w:tcW w:w="3925" w:type="dxa"/>
            <w:shd w:val="clear" w:color="auto" w:fill="FFFFFF"/>
            <w:noWrap w:val="0"/>
            <w:vAlign w:val="center"/>
          </w:tcPr>
          <w:p w14:paraId="7AC7D273">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lang w:val="en-US" w:eastAsia="zh-CN"/>
              </w:rPr>
              <w:t>在设备不断电的情况下，用专业的清洁剂，对设备进行除尘清洁。</w:t>
            </w:r>
          </w:p>
        </w:tc>
        <w:tc>
          <w:tcPr>
            <w:tcW w:w="1387" w:type="dxa"/>
            <w:shd w:val="clear" w:color="auto" w:fill="FFFFFF"/>
            <w:noWrap w:val="0"/>
            <w:vAlign w:val="center"/>
          </w:tcPr>
          <w:p w14:paraId="65F0F3F6">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lang w:val="en-US" w:eastAsia="zh-CN"/>
              </w:rPr>
              <w:t>每年清洁一次</w:t>
            </w:r>
          </w:p>
        </w:tc>
      </w:tr>
      <w:tr w14:paraId="3412F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vMerge w:val="restart"/>
            <w:shd w:val="clear" w:color="auto" w:fill="FFFFFF"/>
            <w:noWrap w:val="0"/>
            <w:vAlign w:val="center"/>
          </w:tcPr>
          <w:p w14:paraId="76C920BF">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lang w:eastAsia="zh-CN"/>
              </w:rPr>
            </w:pPr>
            <w:r>
              <w:rPr>
                <w:rFonts w:hint="eastAsia" w:ascii="宋体" w:hAnsi="宋体" w:eastAsia="宋体" w:cs="宋体"/>
                <w:i w:val="0"/>
                <w:iCs w:val="0"/>
                <w:color w:val="auto"/>
                <w:sz w:val="24"/>
                <w:szCs w:val="24"/>
                <w:lang w:val="en-US" w:eastAsia="zh-CN"/>
              </w:rPr>
              <w:t>2</w:t>
            </w:r>
          </w:p>
        </w:tc>
        <w:tc>
          <w:tcPr>
            <w:tcW w:w="1315" w:type="dxa"/>
            <w:vMerge w:val="restart"/>
            <w:shd w:val="clear" w:color="auto" w:fill="FFFFFF"/>
            <w:noWrap w:val="0"/>
            <w:vAlign w:val="center"/>
          </w:tcPr>
          <w:p w14:paraId="6FF38FA8">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机房供配电系统</w:t>
            </w:r>
          </w:p>
        </w:tc>
        <w:tc>
          <w:tcPr>
            <w:tcW w:w="1783" w:type="dxa"/>
            <w:vMerge w:val="restart"/>
            <w:shd w:val="clear" w:color="auto" w:fill="FFFFFF"/>
            <w:noWrap w:val="0"/>
            <w:vAlign w:val="center"/>
          </w:tcPr>
          <w:p w14:paraId="62983824">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配电柜（空气开关、避雷器、箱体）维护和检修</w:t>
            </w:r>
          </w:p>
        </w:tc>
        <w:tc>
          <w:tcPr>
            <w:tcW w:w="3925" w:type="dxa"/>
            <w:shd w:val="clear" w:color="auto" w:fill="FFFFFF"/>
            <w:noWrap w:val="0"/>
            <w:vAlign w:val="center"/>
          </w:tcPr>
          <w:p w14:paraId="11ACA889">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检查柜内分断器、空气断路器开关和电力线缆等各类设施设备温度是否正常。</w:t>
            </w:r>
          </w:p>
        </w:tc>
        <w:tc>
          <w:tcPr>
            <w:tcW w:w="1387" w:type="dxa"/>
            <w:shd w:val="clear" w:color="auto" w:fill="FFFFFF"/>
            <w:noWrap w:val="0"/>
            <w:vAlign w:val="center"/>
          </w:tcPr>
          <w:p w14:paraId="56BBDAA3">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lang w:eastAsia="zh-CN"/>
              </w:rPr>
              <w:t>每</w:t>
            </w:r>
            <w:r>
              <w:rPr>
                <w:rFonts w:hint="eastAsia" w:ascii="宋体" w:hAnsi="宋体" w:eastAsia="宋体" w:cs="宋体"/>
                <w:i w:val="0"/>
                <w:iCs w:val="0"/>
                <w:color w:val="auto"/>
                <w:sz w:val="24"/>
                <w:szCs w:val="24"/>
                <w:lang w:val="en-US" w:eastAsia="zh-CN"/>
              </w:rPr>
              <w:t>季度</w:t>
            </w:r>
            <w:r>
              <w:rPr>
                <w:rFonts w:hint="eastAsia" w:ascii="宋体" w:hAnsi="宋体" w:eastAsia="宋体" w:cs="宋体"/>
                <w:i w:val="0"/>
                <w:iCs w:val="0"/>
                <w:color w:val="auto"/>
                <w:sz w:val="24"/>
                <w:szCs w:val="24"/>
              </w:rPr>
              <w:t>检查一次</w:t>
            </w:r>
          </w:p>
        </w:tc>
      </w:tr>
      <w:tr w14:paraId="48996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vMerge w:val="continue"/>
            <w:shd w:val="clear" w:color="auto" w:fill="FFFFFF"/>
            <w:noWrap w:val="0"/>
            <w:vAlign w:val="center"/>
          </w:tcPr>
          <w:p w14:paraId="1F693993">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1315" w:type="dxa"/>
            <w:vMerge w:val="continue"/>
            <w:shd w:val="clear" w:color="auto" w:fill="FFFFFF"/>
            <w:noWrap w:val="0"/>
            <w:vAlign w:val="center"/>
          </w:tcPr>
          <w:p w14:paraId="57EAC3A5">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1783" w:type="dxa"/>
            <w:vMerge w:val="continue"/>
            <w:shd w:val="clear" w:color="auto" w:fill="FFFFFF"/>
            <w:noWrap w:val="0"/>
            <w:vAlign w:val="center"/>
          </w:tcPr>
          <w:p w14:paraId="27A6223B">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3925" w:type="dxa"/>
            <w:shd w:val="clear" w:color="auto" w:fill="FFFFFF"/>
            <w:noWrap w:val="0"/>
            <w:vAlign w:val="center"/>
          </w:tcPr>
          <w:p w14:paraId="59C8C57A">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检查柜内是否干燥、清洁。</w:t>
            </w:r>
          </w:p>
        </w:tc>
        <w:tc>
          <w:tcPr>
            <w:tcW w:w="1387" w:type="dxa"/>
            <w:shd w:val="clear" w:color="auto" w:fill="FFFFFF"/>
            <w:noWrap w:val="0"/>
            <w:vAlign w:val="center"/>
          </w:tcPr>
          <w:p w14:paraId="626758F4">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lang w:eastAsia="zh-CN"/>
              </w:rPr>
              <w:t>每</w:t>
            </w:r>
            <w:r>
              <w:rPr>
                <w:rFonts w:hint="eastAsia" w:ascii="宋体" w:hAnsi="宋体" w:eastAsia="宋体" w:cs="宋体"/>
                <w:i w:val="0"/>
                <w:iCs w:val="0"/>
                <w:color w:val="auto"/>
                <w:sz w:val="24"/>
                <w:szCs w:val="24"/>
                <w:lang w:val="en-US" w:eastAsia="zh-CN"/>
              </w:rPr>
              <w:t>季度</w:t>
            </w:r>
            <w:r>
              <w:rPr>
                <w:rFonts w:hint="eastAsia" w:ascii="宋体" w:hAnsi="宋体" w:eastAsia="宋体" w:cs="宋体"/>
                <w:i w:val="0"/>
                <w:iCs w:val="0"/>
                <w:color w:val="auto"/>
                <w:sz w:val="24"/>
                <w:szCs w:val="24"/>
              </w:rPr>
              <w:t>检查一次</w:t>
            </w:r>
          </w:p>
        </w:tc>
      </w:tr>
      <w:tr w14:paraId="18145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vMerge w:val="continue"/>
            <w:shd w:val="clear" w:color="auto" w:fill="FFFFFF"/>
            <w:noWrap w:val="0"/>
            <w:vAlign w:val="center"/>
          </w:tcPr>
          <w:p w14:paraId="012D98D8">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1315" w:type="dxa"/>
            <w:vMerge w:val="continue"/>
            <w:shd w:val="clear" w:color="auto" w:fill="FFFFFF"/>
            <w:noWrap w:val="0"/>
            <w:vAlign w:val="center"/>
          </w:tcPr>
          <w:p w14:paraId="0AF78E74">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1783" w:type="dxa"/>
            <w:vMerge w:val="continue"/>
            <w:shd w:val="clear" w:color="auto" w:fill="FFFFFF"/>
            <w:noWrap w:val="0"/>
            <w:vAlign w:val="center"/>
          </w:tcPr>
          <w:p w14:paraId="5443BD11">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3925" w:type="dxa"/>
            <w:shd w:val="clear" w:color="auto" w:fill="FFFFFF"/>
            <w:noWrap w:val="0"/>
            <w:vAlign w:val="center"/>
          </w:tcPr>
          <w:p w14:paraId="0BDC0168">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电器元件的操作机构是否灵活，不应有卡滞或操作力过大现象。</w:t>
            </w:r>
          </w:p>
        </w:tc>
        <w:tc>
          <w:tcPr>
            <w:tcW w:w="1387" w:type="dxa"/>
            <w:shd w:val="clear" w:color="auto" w:fill="FFFFFF"/>
            <w:noWrap w:val="0"/>
            <w:vAlign w:val="center"/>
          </w:tcPr>
          <w:p w14:paraId="09F3BE47">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lang w:eastAsia="zh-CN"/>
              </w:rPr>
              <w:t>每</w:t>
            </w:r>
            <w:r>
              <w:rPr>
                <w:rFonts w:hint="eastAsia" w:ascii="宋体" w:hAnsi="宋体" w:eastAsia="宋体" w:cs="宋体"/>
                <w:i w:val="0"/>
                <w:iCs w:val="0"/>
                <w:color w:val="auto"/>
                <w:sz w:val="24"/>
                <w:szCs w:val="24"/>
                <w:lang w:val="en-US" w:eastAsia="zh-CN"/>
              </w:rPr>
              <w:t>季度</w:t>
            </w:r>
            <w:r>
              <w:rPr>
                <w:rFonts w:hint="eastAsia" w:ascii="宋体" w:hAnsi="宋体" w:eastAsia="宋体" w:cs="宋体"/>
                <w:i w:val="0"/>
                <w:iCs w:val="0"/>
                <w:color w:val="auto"/>
                <w:sz w:val="24"/>
                <w:szCs w:val="24"/>
              </w:rPr>
              <w:t>检查一次</w:t>
            </w:r>
          </w:p>
        </w:tc>
      </w:tr>
      <w:tr w14:paraId="1E5C5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vMerge w:val="continue"/>
            <w:shd w:val="clear" w:color="auto" w:fill="FFFFFF"/>
            <w:noWrap w:val="0"/>
            <w:vAlign w:val="center"/>
          </w:tcPr>
          <w:p w14:paraId="42AF9318">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1315" w:type="dxa"/>
            <w:vMerge w:val="continue"/>
            <w:shd w:val="clear" w:color="auto" w:fill="FFFFFF"/>
            <w:noWrap w:val="0"/>
            <w:vAlign w:val="center"/>
          </w:tcPr>
          <w:p w14:paraId="234F8FCA">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1783" w:type="dxa"/>
            <w:vMerge w:val="continue"/>
            <w:shd w:val="clear" w:color="auto" w:fill="FFFFFF"/>
            <w:noWrap w:val="0"/>
            <w:vAlign w:val="center"/>
          </w:tcPr>
          <w:p w14:paraId="252BF969">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3925" w:type="dxa"/>
            <w:shd w:val="clear" w:color="auto" w:fill="FFFFFF"/>
            <w:noWrap w:val="0"/>
            <w:vAlign w:val="center"/>
          </w:tcPr>
          <w:p w14:paraId="6E873C91">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主要电器的通断是否可靠、准确。辅助接点的通断是否可靠准确。</w:t>
            </w:r>
          </w:p>
        </w:tc>
        <w:tc>
          <w:tcPr>
            <w:tcW w:w="1387" w:type="dxa"/>
            <w:shd w:val="clear" w:color="auto" w:fill="FFFFFF"/>
            <w:noWrap w:val="0"/>
            <w:vAlign w:val="center"/>
          </w:tcPr>
          <w:p w14:paraId="4328140F">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lang w:eastAsia="zh-CN"/>
              </w:rPr>
              <w:t>每</w:t>
            </w:r>
            <w:r>
              <w:rPr>
                <w:rFonts w:hint="eastAsia" w:ascii="宋体" w:hAnsi="宋体" w:eastAsia="宋体" w:cs="宋体"/>
                <w:i w:val="0"/>
                <w:iCs w:val="0"/>
                <w:color w:val="auto"/>
                <w:sz w:val="24"/>
                <w:szCs w:val="24"/>
                <w:lang w:val="en-US" w:eastAsia="zh-CN"/>
              </w:rPr>
              <w:t>季度</w:t>
            </w:r>
            <w:r>
              <w:rPr>
                <w:rFonts w:hint="eastAsia" w:ascii="宋体" w:hAnsi="宋体" w:eastAsia="宋体" w:cs="宋体"/>
                <w:i w:val="0"/>
                <w:iCs w:val="0"/>
                <w:color w:val="auto"/>
                <w:sz w:val="24"/>
                <w:szCs w:val="24"/>
              </w:rPr>
              <w:t>检查一次</w:t>
            </w:r>
          </w:p>
        </w:tc>
      </w:tr>
      <w:tr w14:paraId="6828C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vMerge w:val="continue"/>
            <w:shd w:val="clear" w:color="auto" w:fill="FFFFFF"/>
            <w:noWrap w:val="0"/>
            <w:vAlign w:val="center"/>
          </w:tcPr>
          <w:p w14:paraId="47A770FE">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1315" w:type="dxa"/>
            <w:vMerge w:val="continue"/>
            <w:shd w:val="clear" w:color="auto" w:fill="FFFFFF"/>
            <w:noWrap w:val="0"/>
            <w:vAlign w:val="center"/>
          </w:tcPr>
          <w:p w14:paraId="214E4813">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1783" w:type="dxa"/>
            <w:vMerge w:val="continue"/>
            <w:shd w:val="clear" w:color="auto" w:fill="FFFFFF"/>
            <w:noWrap w:val="0"/>
            <w:vAlign w:val="center"/>
          </w:tcPr>
          <w:p w14:paraId="14ED66B1">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3925" w:type="dxa"/>
            <w:shd w:val="clear" w:color="auto" w:fill="FFFFFF"/>
            <w:noWrap w:val="0"/>
            <w:vAlign w:val="center"/>
          </w:tcPr>
          <w:p w14:paraId="1E118C12">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仪表指示与互感器的变化及极性是否正确。</w:t>
            </w:r>
          </w:p>
        </w:tc>
        <w:tc>
          <w:tcPr>
            <w:tcW w:w="1387" w:type="dxa"/>
            <w:shd w:val="clear" w:color="auto" w:fill="FFFFFF"/>
            <w:noWrap w:val="0"/>
            <w:vAlign w:val="center"/>
          </w:tcPr>
          <w:p w14:paraId="6162521F">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lang w:eastAsia="zh-CN"/>
              </w:rPr>
              <w:t>每</w:t>
            </w:r>
            <w:r>
              <w:rPr>
                <w:rFonts w:hint="eastAsia" w:ascii="宋体" w:hAnsi="宋体" w:eastAsia="宋体" w:cs="宋体"/>
                <w:i w:val="0"/>
                <w:iCs w:val="0"/>
                <w:color w:val="auto"/>
                <w:sz w:val="24"/>
                <w:szCs w:val="24"/>
                <w:lang w:val="en-US" w:eastAsia="zh-CN"/>
              </w:rPr>
              <w:t>季度</w:t>
            </w:r>
            <w:r>
              <w:rPr>
                <w:rFonts w:hint="eastAsia" w:ascii="宋体" w:hAnsi="宋体" w:eastAsia="宋体" w:cs="宋体"/>
                <w:i w:val="0"/>
                <w:iCs w:val="0"/>
                <w:color w:val="auto"/>
                <w:sz w:val="24"/>
                <w:szCs w:val="24"/>
              </w:rPr>
              <w:t>检查一次</w:t>
            </w:r>
          </w:p>
        </w:tc>
      </w:tr>
      <w:tr w14:paraId="6E510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vMerge w:val="continue"/>
            <w:shd w:val="clear" w:color="auto" w:fill="FFFFFF"/>
            <w:noWrap w:val="0"/>
            <w:vAlign w:val="center"/>
          </w:tcPr>
          <w:p w14:paraId="4A07C34D">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1315" w:type="dxa"/>
            <w:vMerge w:val="continue"/>
            <w:shd w:val="clear" w:color="auto" w:fill="FFFFFF"/>
            <w:noWrap w:val="0"/>
            <w:vAlign w:val="center"/>
          </w:tcPr>
          <w:p w14:paraId="5D8ED496">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1783" w:type="dxa"/>
            <w:vMerge w:val="continue"/>
            <w:shd w:val="clear" w:color="auto" w:fill="FFFFFF"/>
            <w:noWrap w:val="0"/>
            <w:vAlign w:val="center"/>
          </w:tcPr>
          <w:p w14:paraId="16FAFB8E">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3925" w:type="dxa"/>
            <w:shd w:val="clear" w:color="auto" w:fill="FFFFFF"/>
            <w:noWrap w:val="0"/>
            <w:vAlign w:val="center"/>
          </w:tcPr>
          <w:p w14:paraId="6BF81DFC">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母线连接是否良好，绝缘支撑件、安装件及附件是否安装牢固可靠。</w:t>
            </w:r>
          </w:p>
        </w:tc>
        <w:tc>
          <w:tcPr>
            <w:tcW w:w="1387" w:type="dxa"/>
            <w:shd w:val="clear" w:color="auto" w:fill="FFFFFF"/>
            <w:noWrap w:val="0"/>
            <w:vAlign w:val="center"/>
          </w:tcPr>
          <w:p w14:paraId="6A47358E">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lang w:eastAsia="zh-CN"/>
              </w:rPr>
              <w:t>每</w:t>
            </w:r>
            <w:r>
              <w:rPr>
                <w:rFonts w:hint="eastAsia" w:ascii="宋体" w:hAnsi="宋体" w:eastAsia="宋体" w:cs="宋体"/>
                <w:i w:val="0"/>
                <w:iCs w:val="0"/>
                <w:color w:val="auto"/>
                <w:sz w:val="24"/>
                <w:szCs w:val="24"/>
                <w:lang w:val="en-US" w:eastAsia="zh-CN"/>
              </w:rPr>
              <w:t>季度</w:t>
            </w:r>
            <w:r>
              <w:rPr>
                <w:rFonts w:hint="eastAsia" w:ascii="宋体" w:hAnsi="宋体" w:eastAsia="宋体" w:cs="宋体"/>
                <w:i w:val="0"/>
                <w:iCs w:val="0"/>
                <w:color w:val="auto"/>
                <w:sz w:val="24"/>
                <w:szCs w:val="24"/>
              </w:rPr>
              <w:t>检查一次</w:t>
            </w:r>
          </w:p>
        </w:tc>
      </w:tr>
      <w:tr w14:paraId="46F9A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vMerge w:val="continue"/>
            <w:shd w:val="clear" w:color="auto" w:fill="FFFFFF"/>
            <w:noWrap w:val="0"/>
            <w:vAlign w:val="center"/>
          </w:tcPr>
          <w:p w14:paraId="3C898DA5">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1315" w:type="dxa"/>
            <w:vMerge w:val="continue"/>
            <w:shd w:val="clear" w:color="auto" w:fill="FFFFFF"/>
            <w:noWrap w:val="0"/>
            <w:vAlign w:val="center"/>
          </w:tcPr>
          <w:p w14:paraId="016C76E3">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1783" w:type="dxa"/>
            <w:vMerge w:val="continue"/>
            <w:shd w:val="clear" w:color="auto" w:fill="FFFFFF"/>
            <w:noWrap w:val="0"/>
            <w:vAlign w:val="center"/>
          </w:tcPr>
          <w:p w14:paraId="5A47300D">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3925" w:type="dxa"/>
            <w:shd w:val="clear" w:color="auto" w:fill="FFFFFF"/>
            <w:noWrap w:val="0"/>
            <w:vAlign w:val="center"/>
          </w:tcPr>
          <w:p w14:paraId="7887E25E">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定期对空气断路器按其使用说明书进行维护和检修。</w:t>
            </w:r>
          </w:p>
        </w:tc>
        <w:tc>
          <w:tcPr>
            <w:tcW w:w="1387" w:type="dxa"/>
            <w:shd w:val="clear" w:color="auto" w:fill="FFFFFF"/>
            <w:noWrap w:val="0"/>
            <w:vAlign w:val="center"/>
          </w:tcPr>
          <w:p w14:paraId="027F9765">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lang w:eastAsia="zh-CN"/>
              </w:rPr>
              <w:t>每</w:t>
            </w:r>
            <w:r>
              <w:rPr>
                <w:rFonts w:hint="eastAsia" w:ascii="宋体" w:hAnsi="宋体" w:eastAsia="宋体" w:cs="宋体"/>
                <w:i w:val="0"/>
                <w:iCs w:val="0"/>
                <w:color w:val="auto"/>
                <w:sz w:val="24"/>
                <w:szCs w:val="24"/>
                <w:lang w:val="en-US" w:eastAsia="zh-CN"/>
              </w:rPr>
              <w:t>季度</w:t>
            </w:r>
            <w:r>
              <w:rPr>
                <w:rFonts w:hint="eastAsia" w:ascii="宋体" w:hAnsi="宋体" w:eastAsia="宋体" w:cs="宋体"/>
                <w:i w:val="0"/>
                <w:iCs w:val="0"/>
                <w:color w:val="auto"/>
                <w:sz w:val="24"/>
                <w:szCs w:val="24"/>
              </w:rPr>
              <w:t>检查一次</w:t>
            </w:r>
          </w:p>
        </w:tc>
      </w:tr>
      <w:tr w14:paraId="2E544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vMerge w:val="continue"/>
            <w:shd w:val="clear" w:color="auto" w:fill="FFFFFF"/>
            <w:noWrap w:val="0"/>
            <w:vAlign w:val="center"/>
          </w:tcPr>
          <w:p w14:paraId="11311918">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1315" w:type="dxa"/>
            <w:vMerge w:val="continue"/>
            <w:shd w:val="clear" w:color="auto" w:fill="FFFFFF"/>
            <w:noWrap w:val="0"/>
            <w:vAlign w:val="center"/>
          </w:tcPr>
          <w:p w14:paraId="2D8ED61E">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1783" w:type="dxa"/>
            <w:vMerge w:val="continue"/>
            <w:shd w:val="clear" w:color="auto" w:fill="FFFFFF"/>
            <w:noWrap w:val="0"/>
            <w:vAlign w:val="center"/>
          </w:tcPr>
          <w:p w14:paraId="5EA59FAA">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3925" w:type="dxa"/>
            <w:shd w:val="clear" w:color="auto" w:fill="FFFFFF"/>
            <w:noWrap w:val="0"/>
            <w:vAlign w:val="center"/>
          </w:tcPr>
          <w:p w14:paraId="0AEB1CFE">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格棚灯灯管日常维护、损坏更换；电子镇流器日常维护、损坏更换；墙面开关日常维护、清洁、损坏更换；机房应急照明系统测试、损坏更换。</w:t>
            </w:r>
          </w:p>
        </w:tc>
        <w:tc>
          <w:tcPr>
            <w:tcW w:w="1387" w:type="dxa"/>
            <w:shd w:val="clear" w:color="auto" w:fill="FFFFFF"/>
            <w:noWrap w:val="0"/>
            <w:vAlign w:val="center"/>
          </w:tcPr>
          <w:p w14:paraId="433CE7EA">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r>
      <w:tr w14:paraId="4280F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vMerge w:val="continue"/>
            <w:shd w:val="clear" w:color="auto" w:fill="FFFFFF"/>
            <w:noWrap w:val="0"/>
            <w:vAlign w:val="center"/>
          </w:tcPr>
          <w:p w14:paraId="28028665">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1315" w:type="dxa"/>
            <w:vMerge w:val="continue"/>
            <w:shd w:val="clear" w:color="auto" w:fill="FFFFFF"/>
            <w:noWrap w:val="0"/>
            <w:vAlign w:val="center"/>
          </w:tcPr>
          <w:p w14:paraId="25446BC8">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1783" w:type="dxa"/>
            <w:vMerge w:val="restart"/>
            <w:shd w:val="clear" w:color="auto" w:fill="FFFFFF"/>
            <w:noWrap w:val="0"/>
            <w:vAlign w:val="center"/>
          </w:tcPr>
          <w:p w14:paraId="07E7F2CC">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供电线路的检测、维修</w:t>
            </w:r>
          </w:p>
        </w:tc>
        <w:tc>
          <w:tcPr>
            <w:tcW w:w="3925" w:type="dxa"/>
            <w:shd w:val="clear" w:color="auto" w:fill="FFFFFF"/>
            <w:noWrap w:val="0"/>
            <w:vAlign w:val="center"/>
          </w:tcPr>
          <w:p w14:paraId="2443D8C6">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检查机房以及各机柜的接地电阻、接地线电流以及各配电柜地线接地状态是否正常。</w:t>
            </w:r>
            <w:r>
              <w:rPr>
                <w:rFonts w:hint="eastAsia" w:ascii="宋体" w:hAnsi="宋体" w:eastAsia="宋体" w:cs="宋体"/>
                <w:i w:val="0"/>
                <w:iCs w:val="0"/>
                <w:color w:val="auto"/>
                <w:sz w:val="24"/>
                <w:szCs w:val="24"/>
                <w:lang w:val="en-US" w:eastAsia="zh-CN"/>
              </w:rPr>
              <w:t>数据处理与报告生成：使用Fluke SmartView®等专业软件进行深度分析，生成标准化的《</w:t>
            </w:r>
            <w:r>
              <w:rPr>
                <w:rFonts w:hint="eastAsia" w:ascii="宋体" w:hAnsi="宋体" w:eastAsia="宋体" w:cs="宋体"/>
                <w:b w:val="0"/>
                <w:bCs w:val="0"/>
                <w:i w:val="0"/>
                <w:iCs w:val="0"/>
                <w:color w:val="auto"/>
                <w:sz w:val="24"/>
                <w:szCs w:val="24"/>
                <w:lang w:val="en-US" w:eastAsia="zh-CN"/>
              </w:rPr>
              <w:t>红外热成像巡检服务报告</w:t>
            </w:r>
            <w:r>
              <w:rPr>
                <w:rFonts w:hint="eastAsia" w:ascii="宋体" w:hAnsi="宋体" w:eastAsia="宋体" w:cs="宋体"/>
                <w:i w:val="0"/>
                <w:iCs w:val="0"/>
                <w:color w:val="auto"/>
                <w:sz w:val="24"/>
                <w:szCs w:val="24"/>
                <w:lang w:val="en-US" w:eastAsia="zh-CN"/>
              </w:rPr>
              <w:t>》</w:t>
            </w:r>
          </w:p>
        </w:tc>
        <w:tc>
          <w:tcPr>
            <w:tcW w:w="1387" w:type="dxa"/>
            <w:shd w:val="clear" w:color="auto" w:fill="FFFFFF"/>
            <w:noWrap w:val="0"/>
            <w:vAlign w:val="center"/>
          </w:tcPr>
          <w:p w14:paraId="0C173C9F">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lang w:eastAsia="zh-CN"/>
              </w:rPr>
              <w:t>每</w:t>
            </w:r>
            <w:r>
              <w:rPr>
                <w:rFonts w:hint="eastAsia" w:ascii="宋体" w:hAnsi="宋体" w:eastAsia="宋体" w:cs="宋体"/>
                <w:i w:val="0"/>
                <w:iCs w:val="0"/>
                <w:color w:val="auto"/>
                <w:sz w:val="24"/>
                <w:szCs w:val="24"/>
                <w:lang w:val="en-US" w:eastAsia="zh-CN"/>
              </w:rPr>
              <w:t>季度</w:t>
            </w:r>
            <w:r>
              <w:rPr>
                <w:rFonts w:hint="eastAsia" w:ascii="宋体" w:hAnsi="宋体" w:eastAsia="宋体" w:cs="宋体"/>
                <w:i w:val="0"/>
                <w:iCs w:val="0"/>
                <w:color w:val="auto"/>
                <w:sz w:val="24"/>
                <w:szCs w:val="24"/>
              </w:rPr>
              <w:t>检查一次</w:t>
            </w:r>
          </w:p>
        </w:tc>
      </w:tr>
      <w:tr w14:paraId="73883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vMerge w:val="continue"/>
            <w:shd w:val="clear" w:color="auto" w:fill="FFFFFF"/>
            <w:noWrap w:val="0"/>
            <w:vAlign w:val="center"/>
          </w:tcPr>
          <w:p w14:paraId="66F0C092">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1315" w:type="dxa"/>
            <w:vMerge w:val="continue"/>
            <w:shd w:val="clear" w:color="auto" w:fill="FFFFFF"/>
            <w:noWrap w:val="0"/>
            <w:vAlign w:val="center"/>
          </w:tcPr>
          <w:p w14:paraId="3E289EC8">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1783" w:type="dxa"/>
            <w:vMerge w:val="continue"/>
            <w:shd w:val="clear" w:color="auto" w:fill="FFFFFF"/>
            <w:noWrap w:val="0"/>
            <w:vAlign w:val="center"/>
          </w:tcPr>
          <w:p w14:paraId="790A2AA7">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3925" w:type="dxa"/>
            <w:shd w:val="clear" w:color="auto" w:fill="FFFFFF"/>
            <w:noWrap w:val="0"/>
            <w:vAlign w:val="center"/>
          </w:tcPr>
          <w:p w14:paraId="2E4FDDCB">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固接线端子进行外观检查。</w:t>
            </w:r>
          </w:p>
        </w:tc>
        <w:tc>
          <w:tcPr>
            <w:tcW w:w="1387" w:type="dxa"/>
            <w:shd w:val="clear" w:color="auto" w:fill="FFFFFF"/>
            <w:noWrap w:val="0"/>
            <w:vAlign w:val="center"/>
          </w:tcPr>
          <w:p w14:paraId="1F374D85">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lang w:eastAsia="zh-CN"/>
              </w:rPr>
              <w:t>每</w:t>
            </w:r>
            <w:r>
              <w:rPr>
                <w:rFonts w:hint="eastAsia" w:ascii="宋体" w:hAnsi="宋体" w:eastAsia="宋体" w:cs="宋体"/>
                <w:i w:val="0"/>
                <w:iCs w:val="0"/>
                <w:color w:val="auto"/>
                <w:sz w:val="24"/>
                <w:szCs w:val="24"/>
                <w:lang w:val="en-US" w:eastAsia="zh-CN"/>
              </w:rPr>
              <w:t>季度</w:t>
            </w:r>
            <w:r>
              <w:rPr>
                <w:rFonts w:hint="eastAsia" w:ascii="宋体" w:hAnsi="宋体" w:eastAsia="宋体" w:cs="宋体"/>
                <w:i w:val="0"/>
                <w:iCs w:val="0"/>
                <w:color w:val="auto"/>
                <w:sz w:val="24"/>
                <w:szCs w:val="24"/>
              </w:rPr>
              <w:t>检查一次</w:t>
            </w:r>
          </w:p>
        </w:tc>
      </w:tr>
      <w:tr w14:paraId="105E7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vMerge w:val="continue"/>
            <w:shd w:val="clear" w:color="auto" w:fill="FFFFFF"/>
            <w:noWrap w:val="0"/>
            <w:vAlign w:val="center"/>
          </w:tcPr>
          <w:p w14:paraId="7960248D">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1315" w:type="dxa"/>
            <w:vMerge w:val="continue"/>
            <w:shd w:val="clear" w:color="auto" w:fill="FFFFFF"/>
            <w:noWrap w:val="0"/>
            <w:vAlign w:val="center"/>
          </w:tcPr>
          <w:p w14:paraId="0C2A417A">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1783" w:type="dxa"/>
            <w:vMerge w:val="continue"/>
            <w:shd w:val="clear" w:color="auto" w:fill="FFFFFF"/>
            <w:noWrap w:val="0"/>
            <w:vAlign w:val="center"/>
          </w:tcPr>
          <w:p w14:paraId="0800EA9D">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3925" w:type="dxa"/>
            <w:shd w:val="clear" w:color="auto" w:fill="FFFFFF"/>
            <w:noWrap w:val="0"/>
            <w:vAlign w:val="center"/>
          </w:tcPr>
          <w:p w14:paraId="5410190B">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外部电气参数的检测。</w:t>
            </w:r>
          </w:p>
        </w:tc>
        <w:tc>
          <w:tcPr>
            <w:tcW w:w="1387" w:type="dxa"/>
            <w:shd w:val="clear" w:color="auto" w:fill="FFFFFF"/>
            <w:noWrap w:val="0"/>
            <w:vAlign w:val="center"/>
          </w:tcPr>
          <w:p w14:paraId="02C22784">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lang w:eastAsia="zh-CN"/>
              </w:rPr>
              <w:t>每</w:t>
            </w:r>
            <w:r>
              <w:rPr>
                <w:rFonts w:hint="eastAsia" w:ascii="宋体" w:hAnsi="宋体" w:eastAsia="宋体" w:cs="宋体"/>
                <w:i w:val="0"/>
                <w:iCs w:val="0"/>
                <w:color w:val="auto"/>
                <w:sz w:val="24"/>
                <w:szCs w:val="24"/>
                <w:lang w:val="en-US" w:eastAsia="zh-CN"/>
              </w:rPr>
              <w:t>季度</w:t>
            </w:r>
            <w:r>
              <w:rPr>
                <w:rFonts w:hint="eastAsia" w:ascii="宋体" w:hAnsi="宋体" w:eastAsia="宋体" w:cs="宋体"/>
                <w:i w:val="0"/>
                <w:iCs w:val="0"/>
                <w:color w:val="auto"/>
                <w:sz w:val="24"/>
                <w:szCs w:val="24"/>
              </w:rPr>
              <w:t>检查一次</w:t>
            </w:r>
          </w:p>
        </w:tc>
      </w:tr>
      <w:tr w14:paraId="42E0C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vMerge w:val="continue"/>
            <w:shd w:val="clear" w:color="auto" w:fill="FFFFFF"/>
            <w:noWrap w:val="0"/>
            <w:vAlign w:val="center"/>
          </w:tcPr>
          <w:p w14:paraId="5E2933A2">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1315" w:type="dxa"/>
            <w:vMerge w:val="continue"/>
            <w:shd w:val="clear" w:color="auto" w:fill="FFFFFF"/>
            <w:noWrap w:val="0"/>
            <w:vAlign w:val="center"/>
          </w:tcPr>
          <w:p w14:paraId="3735D331">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1783" w:type="dxa"/>
            <w:vMerge w:val="continue"/>
            <w:shd w:val="clear" w:color="auto" w:fill="FFFFFF"/>
            <w:noWrap w:val="0"/>
            <w:vAlign w:val="center"/>
          </w:tcPr>
          <w:p w14:paraId="26AE24FA">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3925" w:type="dxa"/>
            <w:shd w:val="clear" w:color="auto" w:fill="FFFFFF"/>
            <w:noWrap w:val="0"/>
            <w:vAlign w:val="center"/>
          </w:tcPr>
          <w:p w14:paraId="74141CF0">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外部配电线路检查。</w:t>
            </w:r>
          </w:p>
        </w:tc>
        <w:tc>
          <w:tcPr>
            <w:tcW w:w="1387" w:type="dxa"/>
            <w:shd w:val="clear" w:color="auto" w:fill="FFFFFF"/>
            <w:noWrap w:val="0"/>
            <w:vAlign w:val="center"/>
          </w:tcPr>
          <w:p w14:paraId="754E2F30">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lang w:eastAsia="zh-CN"/>
              </w:rPr>
              <w:t>每</w:t>
            </w:r>
            <w:r>
              <w:rPr>
                <w:rFonts w:hint="eastAsia" w:ascii="宋体" w:hAnsi="宋体" w:eastAsia="宋体" w:cs="宋体"/>
                <w:i w:val="0"/>
                <w:iCs w:val="0"/>
                <w:color w:val="auto"/>
                <w:sz w:val="24"/>
                <w:szCs w:val="24"/>
                <w:lang w:val="en-US" w:eastAsia="zh-CN"/>
              </w:rPr>
              <w:t>季度</w:t>
            </w:r>
            <w:r>
              <w:rPr>
                <w:rFonts w:hint="eastAsia" w:ascii="宋体" w:hAnsi="宋体" w:eastAsia="宋体" w:cs="宋体"/>
                <w:i w:val="0"/>
                <w:iCs w:val="0"/>
                <w:color w:val="auto"/>
                <w:sz w:val="24"/>
                <w:szCs w:val="24"/>
              </w:rPr>
              <w:t>检查一次</w:t>
            </w:r>
          </w:p>
        </w:tc>
      </w:tr>
      <w:tr w14:paraId="45450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vMerge w:val="continue"/>
            <w:shd w:val="clear" w:color="auto" w:fill="FFFFFF"/>
            <w:noWrap w:val="0"/>
            <w:vAlign w:val="center"/>
          </w:tcPr>
          <w:p w14:paraId="2254FF0E">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1315" w:type="dxa"/>
            <w:vMerge w:val="continue"/>
            <w:shd w:val="clear" w:color="auto" w:fill="FFFFFF"/>
            <w:noWrap w:val="0"/>
            <w:vAlign w:val="center"/>
          </w:tcPr>
          <w:p w14:paraId="1EC443FD">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1783" w:type="dxa"/>
            <w:vMerge w:val="restart"/>
            <w:shd w:val="clear" w:color="auto" w:fill="FFFFFF"/>
            <w:noWrap w:val="0"/>
            <w:vAlign w:val="center"/>
          </w:tcPr>
          <w:p w14:paraId="05F30411">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机房UPS系统</w:t>
            </w:r>
          </w:p>
        </w:tc>
        <w:tc>
          <w:tcPr>
            <w:tcW w:w="3925" w:type="dxa"/>
            <w:shd w:val="clear" w:color="auto" w:fill="FFFFFF"/>
            <w:noWrap w:val="0"/>
            <w:vAlign w:val="center"/>
          </w:tcPr>
          <w:p w14:paraId="1961E9FA">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对UPS进行巡检，对输入滤波器、整流器/充电器、逆变器等部件进行检查、测量。</w:t>
            </w:r>
          </w:p>
        </w:tc>
        <w:tc>
          <w:tcPr>
            <w:tcW w:w="1387" w:type="dxa"/>
            <w:shd w:val="clear" w:color="auto" w:fill="FFFFFF"/>
            <w:noWrap w:val="0"/>
            <w:vAlign w:val="center"/>
          </w:tcPr>
          <w:p w14:paraId="09B8F618">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lang w:eastAsia="zh-CN"/>
              </w:rPr>
              <w:t>每</w:t>
            </w:r>
            <w:r>
              <w:rPr>
                <w:rFonts w:hint="eastAsia" w:ascii="宋体" w:hAnsi="宋体" w:eastAsia="宋体" w:cs="宋体"/>
                <w:i w:val="0"/>
                <w:iCs w:val="0"/>
                <w:color w:val="auto"/>
                <w:sz w:val="24"/>
                <w:szCs w:val="24"/>
                <w:lang w:val="en-US" w:eastAsia="zh-CN"/>
              </w:rPr>
              <w:t>季度</w:t>
            </w:r>
            <w:r>
              <w:rPr>
                <w:rFonts w:hint="eastAsia" w:ascii="宋体" w:hAnsi="宋体" w:eastAsia="宋体" w:cs="宋体"/>
                <w:i w:val="0"/>
                <w:iCs w:val="0"/>
                <w:color w:val="auto"/>
                <w:sz w:val="24"/>
                <w:szCs w:val="24"/>
              </w:rPr>
              <w:t>对UPS进行巡检，对输入滤波器、整流器/充电器、逆变器等部件进行检查、测量。</w:t>
            </w:r>
          </w:p>
        </w:tc>
      </w:tr>
      <w:tr w14:paraId="7AF46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vMerge w:val="continue"/>
            <w:shd w:val="clear" w:color="auto" w:fill="FFFFFF"/>
            <w:noWrap w:val="0"/>
            <w:vAlign w:val="center"/>
          </w:tcPr>
          <w:p w14:paraId="3FD187B6">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1315" w:type="dxa"/>
            <w:vMerge w:val="continue"/>
            <w:shd w:val="clear" w:color="auto" w:fill="FFFFFF"/>
            <w:noWrap w:val="0"/>
            <w:vAlign w:val="center"/>
          </w:tcPr>
          <w:p w14:paraId="29671AC8">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1783" w:type="dxa"/>
            <w:vMerge w:val="continue"/>
            <w:shd w:val="clear" w:color="auto" w:fill="FFFFFF"/>
            <w:noWrap w:val="0"/>
            <w:vAlign w:val="center"/>
          </w:tcPr>
          <w:p w14:paraId="2A613841">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3925" w:type="dxa"/>
            <w:shd w:val="clear" w:color="auto" w:fill="FFFFFF"/>
            <w:noWrap w:val="0"/>
            <w:vAlign w:val="center"/>
          </w:tcPr>
          <w:p w14:paraId="620E00A3">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对电池进行浮充电压测量并进行放电测试与放电时间、电压、电流、变化曲线等情况的测量。</w:t>
            </w:r>
          </w:p>
        </w:tc>
        <w:tc>
          <w:tcPr>
            <w:tcW w:w="1387" w:type="dxa"/>
            <w:shd w:val="clear" w:color="auto" w:fill="FFFFFF"/>
            <w:noWrap w:val="0"/>
            <w:vAlign w:val="center"/>
          </w:tcPr>
          <w:p w14:paraId="3A8176C0">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每半年对UPS和电池进行充放电测试，并进行放电测试与放电时间、电压、电流、变化曲线等情况的测量。</w:t>
            </w:r>
          </w:p>
        </w:tc>
      </w:tr>
      <w:tr w14:paraId="498E2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vMerge w:val="continue"/>
            <w:shd w:val="clear" w:color="auto" w:fill="FFFFFF"/>
            <w:noWrap w:val="0"/>
            <w:vAlign w:val="center"/>
          </w:tcPr>
          <w:p w14:paraId="1E67574C">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1315" w:type="dxa"/>
            <w:vMerge w:val="continue"/>
            <w:shd w:val="clear" w:color="auto" w:fill="FFFFFF"/>
            <w:noWrap w:val="0"/>
            <w:vAlign w:val="center"/>
          </w:tcPr>
          <w:p w14:paraId="68BE92AB">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1783" w:type="dxa"/>
            <w:vMerge w:val="continue"/>
            <w:shd w:val="clear" w:color="auto" w:fill="FFFFFF"/>
            <w:noWrap w:val="0"/>
            <w:vAlign w:val="center"/>
          </w:tcPr>
          <w:p w14:paraId="2A01D1B7">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3925" w:type="dxa"/>
            <w:shd w:val="clear" w:color="auto" w:fill="FFFFFF"/>
            <w:noWrap w:val="0"/>
            <w:vAlign w:val="center"/>
          </w:tcPr>
          <w:p w14:paraId="74F6F4E5">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对电池进行电压和内阻检测。</w:t>
            </w:r>
          </w:p>
        </w:tc>
        <w:tc>
          <w:tcPr>
            <w:tcW w:w="1387" w:type="dxa"/>
            <w:shd w:val="clear" w:color="auto" w:fill="FFFFFF"/>
            <w:noWrap w:val="0"/>
            <w:vAlign w:val="center"/>
          </w:tcPr>
          <w:p w14:paraId="67C0A47E">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每季度UPS电池进行电压和内阻检测。</w:t>
            </w:r>
          </w:p>
        </w:tc>
      </w:tr>
      <w:tr w14:paraId="3A0C0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vMerge w:val="continue"/>
            <w:shd w:val="clear" w:color="auto" w:fill="FFFFFF"/>
            <w:noWrap w:val="0"/>
            <w:vAlign w:val="center"/>
          </w:tcPr>
          <w:p w14:paraId="5E3AD1E2">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1315" w:type="dxa"/>
            <w:vMerge w:val="continue"/>
            <w:shd w:val="clear" w:color="auto" w:fill="FFFFFF"/>
            <w:noWrap w:val="0"/>
            <w:vAlign w:val="center"/>
          </w:tcPr>
          <w:p w14:paraId="17814484">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1783" w:type="dxa"/>
            <w:vMerge w:val="continue"/>
            <w:shd w:val="clear" w:color="auto" w:fill="FFFFFF"/>
            <w:noWrap w:val="0"/>
            <w:vAlign w:val="center"/>
          </w:tcPr>
          <w:p w14:paraId="5DDBB212">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3925" w:type="dxa"/>
            <w:shd w:val="clear" w:color="auto" w:fill="FFFFFF"/>
            <w:noWrap w:val="0"/>
            <w:vAlign w:val="center"/>
          </w:tcPr>
          <w:p w14:paraId="016EDC3D">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检查电池的电极有无腐蚀、结晶、工作温度、工作电压、漏液、鼓胀。</w:t>
            </w:r>
            <w:r>
              <w:rPr>
                <w:rFonts w:hint="eastAsia" w:ascii="宋体" w:hAnsi="宋体" w:eastAsia="宋体" w:cs="宋体"/>
                <w:i w:val="0"/>
                <w:iCs w:val="0"/>
                <w:color w:val="auto"/>
                <w:sz w:val="24"/>
                <w:szCs w:val="24"/>
                <w:lang w:val="en-US" w:eastAsia="zh-CN"/>
              </w:rPr>
              <w:t xml:space="preserve"> Fluke</w:t>
            </w:r>
            <w:r>
              <w:rPr>
                <w:rFonts w:hint="eastAsia" w:ascii="宋体" w:hAnsi="宋体" w:eastAsia="宋体" w:cs="宋体"/>
                <w:i w:val="0"/>
                <w:iCs w:val="0"/>
                <w:color w:val="auto"/>
                <w:sz w:val="24"/>
                <w:szCs w:val="24"/>
              </w:rPr>
              <w:t>高精度电池测试仪</w:t>
            </w:r>
            <w:r>
              <w:rPr>
                <w:rFonts w:hint="eastAsia" w:ascii="宋体" w:hAnsi="宋体" w:eastAsia="宋体" w:cs="宋体"/>
                <w:i w:val="0"/>
                <w:iCs w:val="0"/>
                <w:color w:val="auto"/>
                <w:sz w:val="24"/>
                <w:szCs w:val="24"/>
                <w:lang w:val="en-US" w:eastAsia="zh-CN"/>
              </w:rPr>
              <w:t>《蓄电池组健康状态评估报告》</w:t>
            </w:r>
          </w:p>
          <w:p w14:paraId="55C68F3D">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1387" w:type="dxa"/>
            <w:shd w:val="clear" w:color="auto" w:fill="FFFFFF"/>
            <w:noWrap w:val="0"/>
            <w:vAlign w:val="center"/>
          </w:tcPr>
          <w:p w14:paraId="1DDE67BA">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每</w:t>
            </w:r>
            <w:r>
              <w:rPr>
                <w:rFonts w:hint="eastAsia" w:ascii="宋体" w:hAnsi="宋体" w:eastAsia="宋体" w:cs="宋体"/>
                <w:i w:val="0"/>
                <w:iCs w:val="0"/>
                <w:color w:val="auto"/>
                <w:sz w:val="24"/>
                <w:szCs w:val="24"/>
                <w:lang w:val="en-US" w:eastAsia="zh-CN"/>
              </w:rPr>
              <w:t>半年</w:t>
            </w:r>
            <w:r>
              <w:rPr>
                <w:rFonts w:hint="eastAsia" w:ascii="宋体" w:hAnsi="宋体" w:eastAsia="宋体" w:cs="宋体"/>
                <w:i w:val="0"/>
                <w:iCs w:val="0"/>
                <w:color w:val="auto"/>
                <w:sz w:val="24"/>
                <w:szCs w:val="24"/>
              </w:rPr>
              <w:t>检查电池的电极有无腐蚀、结晶、工作温度、工作电压、漏液、鼓胀。</w:t>
            </w:r>
          </w:p>
        </w:tc>
      </w:tr>
      <w:tr w14:paraId="63A35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757" w:type="dxa"/>
            <w:vMerge w:val="restart"/>
            <w:shd w:val="clear" w:color="auto" w:fill="FFFFFF"/>
            <w:noWrap w:val="0"/>
            <w:vAlign w:val="center"/>
          </w:tcPr>
          <w:p w14:paraId="1F3AF96C">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lang w:val="en-US" w:eastAsia="zh-CN"/>
              </w:rPr>
              <w:t>3</w:t>
            </w:r>
          </w:p>
        </w:tc>
        <w:tc>
          <w:tcPr>
            <w:tcW w:w="1315" w:type="dxa"/>
            <w:vMerge w:val="restart"/>
            <w:shd w:val="clear" w:color="auto" w:fill="auto"/>
            <w:noWrap w:val="0"/>
            <w:vAlign w:val="center"/>
          </w:tcPr>
          <w:p w14:paraId="73AE9B1A">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lang w:val="en-US" w:eastAsia="zh-CN"/>
              </w:rPr>
              <w:t>空调系统</w:t>
            </w:r>
          </w:p>
        </w:tc>
        <w:tc>
          <w:tcPr>
            <w:tcW w:w="1783" w:type="dxa"/>
            <w:shd w:val="clear" w:color="auto" w:fill="auto"/>
            <w:noWrap w:val="0"/>
            <w:vAlign w:val="center"/>
          </w:tcPr>
          <w:p w14:paraId="71D18478">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lang w:val="en-US" w:eastAsia="zh-CN"/>
              </w:rPr>
              <w:t>加湿器</w:t>
            </w:r>
          </w:p>
        </w:tc>
        <w:tc>
          <w:tcPr>
            <w:tcW w:w="3925" w:type="dxa"/>
            <w:shd w:val="clear" w:color="auto" w:fill="auto"/>
            <w:noWrap w:val="0"/>
            <w:vAlign w:val="center"/>
          </w:tcPr>
          <w:p w14:paraId="64E1DAC7">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lang w:val="en-US" w:eastAsia="zh-CN"/>
              </w:rPr>
              <w:t>清洗加湿器，检查加湿器是否生锈。</w:t>
            </w:r>
          </w:p>
        </w:tc>
        <w:tc>
          <w:tcPr>
            <w:tcW w:w="1387" w:type="dxa"/>
            <w:shd w:val="clear" w:color="auto" w:fill="auto"/>
            <w:noWrap w:val="0"/>
            <w:vAlign w:val="center"/>
          </w:tcPr>
          <w:p w14:paraId="447B11A9">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lang w:eastAsia="zh-CN"/>
              </w:rPr>
              <w:t>每</w:t>
            </w:r>
            <w:r>
              <w:rPr>
                <w:rFonts w:hint="eastAsia" w:ascii="宋体" w:hAnsi="宋体" w:eastAsia="宋体" w:cs="宋体"/>
                <w:i w:val="0"/>
                <w:iCs w:val="0"/>
                <w:color w:val="auto"/>
                <w:sz w:val="24"/>
                <w:szCs w:val="24"/>
                <w:lang w:val="en-US" w:eastAsia="zh-CN"/>
              </w:rPr>
              <w:t>季度一次</w:t>
            </w:r>
          </w:p>
        </w:tc>
      </w:tr>
      <w:tr w14:paraId="5AE04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vMerge w:val="continue"/>
            <w:shd w:val="clear" w:color="auto" w:fill="FFFFFF"/>
            <w:noWrap w:val="0"/>
            <w:vAlign w:val="center"/>
          </w:tcPr>
          <w:p w14:paraId="16819881">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1315" w:type="dxa"/>
            <w:vMerge w:val="continue"/>
            <w:shd w:val="clear" w:color="auto" w:fill="auto"/>
            <w:noWrap w:val="0"/>
            <w:vAlign w:val="center"/>
          </w:tcPr>
          <w:p w14:paraId="6299110C">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lang w:val="en-US" w:eastAsia="zh-CN"/>
              </w:rPr>
            </w:pPr>
          </w:p>
        </w:tc>
        <w:tc>
          <w:tcPr>
            <w:tcW w:w="1783" w:type="dxa"/>
            <w:shd w:val="clear" w:color="auto" w:fill="auto"/>
            <w:noWrap w:val="0"/>
            <w:vAlign w:val="center"/>
          </w:tcPr>
          <w:p w14:paraId="41AB78F2">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lang w:val="en-US" w:eastAsia="zh-CN"/>
              </w:rPr>
              <w:t>室外风机</w:t>
            </w:r>
          </w:p>
        </w:tc>
        <w:tc>
          <w:tcPr>
            <w:tcW w:w="3925" w:type="dxa"/>
            <w:shd w:val="clear" w:color="auto" w:fill="auto"/>
            <w:noWrap w:val="0"/>
            <w:vAlign w:val="center"/>
          </w:tcPr>
          <w:p w14:paraId="1D313BE4">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lang w:val="en-US" w:eastAsia="zh-CN"/>
              </w:rPr>
              <w:t>检查室外风机有无抱死，破损，运转情况是否正常，并清除积灰，测量室内、外风机工作电流。检查室内、外风机轴承工作状况。</w:t>
            </w:r>
          </w:p>
        </w:tc>
        <w:tc>
          <w:tcPr>
            <w:tcW w:w="1387" w:type="dxa"/>
            <w:shd w:val="clear" w:color="auto" w:fill="auto"/>
            <w:noWrap w:val="0"/>
            <w:vAlign w:val="center"/>
          </w:tcPr>
          <w:p w14:paraId="5F398F64">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lang w:eastAsia="zh-CN"/>
              </w:rPr>
              <w:t>每</w:t>
            </w:r>
            <w:r>
              <w:rPr>
                <w:rFonts w:hint="eastAsia" w:ascii="宋体" w:hAnsi="宋体" w:eastAsia="宋体" w:cs="宋体"/>
                <w:i w:val="0"/>
                <w:iCs w:val="0"/>
                <w:color w:val="auto"/>
                <w:sz w:val="24"/>
                <w:szCs w:val="24"/>
                <w:lang w:val="en-US" w:eastAsia="zh-CN"/>
              </w:rPr>
              <w:t>季度一次</w:t>
            </w:r>
          </w:p>
        </w:tc>
      </w:tr>
      <w:tr w14:paraId="41758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vMerge w:val="continue"/>
            <w:shd w:val="clear" w:color="auto" w:fill="FFFFFF"/>
            <w:noWrap w:val="0"/>
            <w:vAlign w:val="center"/>
          </w:tcPr>
          <w:p w14:paraId="7CC56FD9">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1315" w:type="dxa"/>
            <w:vMerge w:val="continue"/>
            <w:shd w:val="clear" w:color="auto" w:fill="auto"/>
            <w:noWrap w:val="0"/>
            <w:vAlign w:val="center"/>
          </w:tcPr>
          <w:p w14:paraId="1819B1EB">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lang w:val="en-US" w:eastAsia="zh-CN"/>
              </w:rPr>
            </w:pPr>
          </w:p>
        </w:tc>
        <w:tc>
          <w:tcPr>
            <w:tcW w:w="1783" w:type="dxa"/>
            <w:shd w:val="clear" w:color="auto" w:fill="auto"/>
            <w:noWrap w:val="0"/>
            <w:vAlign w:val="center"/>
          </w:tcPr>
          <w:p w14:paraId="580B307E">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lang w:val="en-US" w:eastAsia="zh-CN"/>
              </w:rPr>
              <w:t>制冷管</w:t>
            </w:r>
          </w:p>
        </w:tc>
        <w:tc>
          <w:tcPr>
            <w:tcW w:w="3925" w:type="dxa"/>
            <w:shd w:val="clear" w:color="auto" w:fill="auto"/>
            <w:noWrap w:val="0"/>
            <w:vAlign w:val="center"/>
          </w:tcPr>
          <w:p w14:paraId="009832CE">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lang w:val="en-US" w:eastAsia="zh-CN"/>
              </w:rPr>
              <w:t>对制冷管路上各接口进行检查，观察是否有油迹，螺纹接口如果有油迹可用板手进行紧固。</w:t>
            </w:r>
          </w:p>
        </w:tc>
        <w:tc>
          <w:tcPr>
            <w:tcW w:w="1387" w:type="dxa"/>
            <w:shd w:val="clear" w:color="auto" w:fill="auto"/>
            <w:noWrap w:val="0"/>
            <w:vAlign w:val="center"/>
          </w:tcPr>
          <w:p w14:paraId="48ABB043">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lang w:eastAsia="zh-CN"/>
              </w:rPr>
              <w:t>每</w:t>
            </w:r>
            <w:r>
              <w:rPr>
                <w:rFonts w:hint="eastAsia" w:ascii="宋体" w:hAnsi="宋体" w:eastAsia="宋体" w:cs="宋体"/>
                <w:i w:val="0"/>
                <w:iCs w:val="0"/>
                <w:color w:val="auto"/>
                <w:sz w:val="24"/>
                <w:szCs w:val="24"/>
                <w:lang w:val="en-US" w:eastAsia="zh-CN"/>
              </w:rPr>
              <w:t>季度一次</w:t>
            </w:r>
          </w:p>
        </w:tc>
      </w:tr>
      <w:tr w14:paraId="02B0D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vMerge w:val="continue"/>
            <w:shd w:val="clear" w:color="auto" w:fill="FFFFFF"/>
            <w:noWrap w:val="0"/>
            <w:vAlign w:val="center"/>
          </w:tcPr>
          <w:p w14:paraId="2D87AFD0">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1315" w:type="dxa"/>
            <w:vMerge w:val="continue"/>
            <w:shd w:val="clear" w:color="auto" w:fill="auto"/>
            <w:noWrap w:val="0"/>
            <w:vAlign w:val="center"/>
          </w:tcPr>
          <w:p w14:paraId="38240F3A">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lang w:val="en-US" w:eastAsia="zh-CN"/>
              </w:rPr>
            </w:pPr>
          </w:p>
        </w:tc>
        <w:tc>
          <w:tcPr>
            <w:tcW w:w="1783" w:type="dxa"/>
            <w:shd w:val="clear" w:color="auto" w:fill="auto"/>
            <w:noWrap w:val="0"/>
            <w:vAlign w:val="center"/>
          </w:tcPr>
          <w:p w14:paraId="386638BA">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lang w:val="en-US" w:eastAsia="zh-CN"/>
              </w:rPr>
              <w:t>压缩机</w:t>
            </w:r>
          </w:p>
        </w:tc>
        <w:tc>
          <w:tcPr>
            <w:tcW w:w="3925" w:type="dxa"/>
            <w:shd w:val="clear" w:color="auto" w:fill="auto"/>
            <w:noWrap w:val="0"/>
            <w:vAlign w:val="center"/>
          </w:tcPr>
          <w:p w14:paraId="4CB3B250">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lang w:val="en-US" w:eastAsia="zh-CN"/>
              </w:rPr>
              <w:t>检查压缩机高低压参数，根据检查情况补充或释放制冷剂。</w:t>
            </w:r>
          </w:p>
        </w:tc>
        <w:tc>
          <w:tcPr>
            <w:tcW w:w="1387" w:type="dxa"/>
            <w:shd w:val="clear" w:color="auto" w:fill="auto"/>
            <w:noWrap w:val="0"/>
            <w:vAlign w:val="center"/>
          </w:tcPr>
          <w:p w14:paraId="4BDDE3E9">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lang w:eastAsia="zh-CN"/>
              </w:rPr>
              <w:t>每</w:t>
            </w:r>
            <w:r>
              <w:rPr>
                <w:rFonts w:hint="eastAsia" w:ascii="宋体" w:hAnsi="宋体" w:eastAsia="宋体" w:cs="宋体"/>
                <w:i w:val="0"/>
                <w:iCs w:val="0"/>
                <w:color w:val="auto"/>
                <w:sz w:val="24"/>
                <w:szCs w:val="24"/>
                <w:lang w:val="en-US" w:eastAsia="zh-CN"/>
              </w:rPr>
              <w:t>季度一次</w:t>
            </w:r>
          </w:p>
        </w:tc>
      </w:tr>
      <w:tr w14:paraId="3055D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vMerge w:val="continue"/>
            <w:shd w:val="clear" w:color="auto" w:fill="FFFFFF"/>
            <w:noWrap w:val="0"/>
            <w:vAlign w:val="center"/>
          </w:tcPr>
          <w:p w14:paraId="45BFD4B2">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1315" w:type="dxa"/>
            <w:vMerge w:val="continue"/>
            <w:shd w:val="clear" w:color="auto" w:fill="auto"/>
            <w:noWrap w:val="0"/>
            <w:vAlign w:val="center"/>
          </w:tcPr>
          <w:p w14:paraId="4FFADB13">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lang w:val="en-US" w:eastAsia="zh-CN"/>
              </w:rPr>
            </w:pPr>
          </w:p>
        </w:tc>
        <w:tc>
          <w:tcPr>
            <w:tcW w:w="1783" w:type="dxa"/>
            <w:shd w:val="clear" w:color="auto" w:fill="auto"/>
            <w:noWrap w:val="0"/>
            <w:vAlign w:val="center"/>
          </w:tcPr>
          <w:p w14:paraId="3BF37055">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lang w:val="en-US" w:eastAsia="zh-CN"/>
              </w:rPr>
              <w:t>电器连线</w:t>
            </w:r>
          </w:p>
        </w:tc>
        <w:tc>
          <w:tcPr>
            <w:tcW w:w="3925" w:type="dxa"/>
            <w:shd w:val="clear" w:color="auto" w:fill="auto"/>
            <w:noWrap w:val="0"/>
            <w:vAlign w:val="center"/>
          </w:tcPr>
          <w:p w14:paraId="02D3265A">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lang w:val="en-US" w:eastAsia="zh-CN"/>
              </w:rPr>
              <w:t>对所有的电器接线端子进行检查，不应有松动。</w:t>
            </w:r>
          </w:p>
        </w:tc>
        <w:tc>
          <w:tcPr>
            <w:tcW w:w="1387" w:type="dxa"/>
            <w:shd w:val="clear" w:color="auto" w:fill="auto"/>
            <w:noWrap w:val="0"/>
            <w:vAlign w:val="center"/>
          </w:tcPr>
          <w:p w14:paraId="664744E2">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lang w:eastAsia="zh-CN"/>
              </w:rPr>
              <w:t>每</w:t>
            </w:r>
            <w:r>
              <w:rPr>
                <w:rFonts w:hint="eastAsia" w:ascii="宋体" w:hAnsi="宋体" w:eastAsia="宋体" w:cs="宋体"/>
                <w:i w:val="0"/>
                <w:iCs w:val="0"/>
                <w:color w:val="auto"/>
                <w:sz w:val="24"/>
                <w:szCs w:val="24"/>
                <w:lang w:val="en-US" w:eastAsia="zh-CN"/>
              </w:rPr>
              <w:t>季度一次</w:t>
            </w:r>
          </w:p>
        </w:tc>
      </w:tr>
      <w:tr w14:paraId="4D266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vMerge w:val="continue"/>
            <w:shd w:val="clear" w:color="auto" w:fill="FFFFFF"/>
            <w:noWrap w:val="0"/>
            <w:vAlign w:val="center"/>
          </w:tcPr>
          <w:p w14:paraId="18C0C1F4">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1315" w:type="dxa"/>
            <w:vMerge w:val="continue"/>
            <w:shd w:val="clear" w:color="auto" w:fill="auto"/>
            <w:noWrap w:val="0"/>
            <w:vAlign w:val="center"/>
          </w:tcPr>
          <w:p w14:paraId="75EA0C82">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lang w:val="en-US" w:eastAsia="zh-CN"/>
              </w:rPr>
            </w:pPr>
          </w:p>
        </w:tc>
        <w:tc>
          <w:tcPr>
            <w:tcW w:w="1783" w:type="dxa"/>
            <w:shd w:val="clear" w:color="auto" w:fill="auto"/>
            <w:noWrap w:val="0"/>
            <w:vAlign w:val="center"/>
          </w:tcPr>
          <w:p w14:paraId="76FD9DA3">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lang w:val="en-US" w:eastAsia="zh-CN"/>
              </w:rPr>
              <w:t>控制器</w:t>
            </w:r>
          </w:p>
        </w:tc>
        <w:tc>
          <w:tcPr>
            <w:tcW w:w="3925" w:type="dxa"/>
            <w:shd w:val="clear" w:color="auto" w:fill="auto"/>
            <w:noWrap w:val="0"/>
            <w:vAlign w:val="center"/>
          </w:tcPr>
          <w:p w14:paraId="0331E2B6">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lang w:val="en-US" w:eastAsia="zh-CN"/>
              </w:rPr>
              <w:t>检查高压控制器、高压压力开关的动作是否良好。</w:t>
            </w:r>
          </w:p>
        </w:tc>
        <w:tc>
          <w:tcPr>
            <w:tcW w:w="1387" w:type="dxa"/>
            <w:shd w:val="clear" w:color="auto" w:fill="auto"/>
            <w:noWrap w:val="0"/>
            <w:vAlign w:val="center"/>
          </w:tcPr>
          <w:p w14:paraId="77B9AD25">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lang w:eastAsia="zh-CN"/>
              </w:rPr>
              <w:t>每</w:t>
            </w:r>
            <w:r>
              <w:rPr>
                <w:rFonts w:hint="eastAsia" w:ascii="宋体" w:hAnsi="宋体" w:eastAsia="宋体" w:cs="宋体"/>
                <w:i w:val="0"/>
                <w:iCs w:val="0"/>
                <w:color w:val="auto"/>
                <w:sz w:val="24"/>
                <w:szCs w:val="24"/>
                <w:lang w:val="en-US" w:eastAsia="zh-CN"/>
              </w:rPr>
              <w:t>季度一次</w:t>
            </w:r>
          </w:p>
        </w:tc>
      </w:tr>
      <w:tr w14:paraId="1A8CC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vMerge w:val="continue"/>
            <w:shd w:val="clear" w:color="auto" w:fill="FFFFFF"/>
            <w:noWrap w:val="0"/>
            <w:vAlign w:val="center"/>
          </w:tcPr>
          <w:p w14:paraId="78E28D8A">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1315" w:type="dxa"/>
            <w:vMerge w:val="continue"/>
            <w:shd w:val="clear" w:color="auto" w:fill="auto"/>
            <w:noWrap w:val="0"/>
            <w:vAlign w:val="center"/>
          </w:tcPr>
          <w:p w14:paraId="61F46983">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lang w:val="en-US" w:eastAsia="zh-CN"/>
              </w:rPr>
            </w:pPr>
          </w:p>
        </w:tc>
        <w:tc>
          <w:tcPr>
            <w:tcW w:w="1783" w:type="dxa"/>
            <w:shd w:val="clear" w:color="auto" w:fill="auto"/>
            <w:noWrap w:val="0"/>
            <w:vAlign w:val="center"/>
          </w:tcPr>
          <w:p w14:paraId="35C8355A">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lang w:val="en-US" w:eastAsia="zh-CN"/>
              </w:rPr>
              <w:t>空调参数设置</w:t>
            </w:r>
          </w:p>
        </w:tc>
        <w:tc>
          <w:tcPr>
            <w:tcW w:w="3925" w:type="dxa"/>
            <w:shd w:val="clear" w:color="auto" w:fill="auto"/>
            <w:noWrap w:val="0"/>
            <w:vAlign w:val="center"/>
          </w:tcPr>
          <w:p w14:paraId="14CED8BA">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lang w:val="en-US" w:eastAsia="zh-CN"/>
              </w:rPr>
              <w:t>对空调机运行参数进行换季调整。</w:t>
            </w:r>
          </w:p>
        </w:tc>
        <w:tc>
          <w:tcPr>
            <w:tcW w:w="1387" w:type="dxa"/>
            <w:shd w:val="clear" w:color="auto" w:fill="auto"/>
            <w:noWrap w:val="0"/>
            <w:vAlign w:val="center"/>
          </w:tcPr>
          <w:p w14:paraId="273FD550">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lang w:eastAsia="zh-CN"/>
              </w:rPr>
              <w:t>每</w:t>
            </w:r>
            <w:r>
              <w:rPr>
                <w:rFonts w:hint="eastAsia" w:ascii="宋体" w:hAnsi="宋体" w:eastAsia="宋体" w:cs="宋体"/>
                <w:i w:val="0"/>
                <w:iCs w:val="0"/>
                <w:color w:val="auto"/>
                <w:sz w:val="24"/>
                <w:szCs w:val="24"/>
                <w:lang w:val="en-US" w:eastAsia="zh-CN"/>
              </w:rPr>
              <w:t>季度一次</w:t>
            </w:r>
          </w:p>
        </w:tc>
      </w:tr>
      <w:tr w14:paraId="5EC6B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vMerge w:val="continue"/>
            <w:shd w:val="clear" w:color="auto" w:fill="FFFFFF"/>
            <w:noWrap w:val="0"/>
            <w:vAlign w:val="center"/>
          </w:tcPr>
          <w:p w14:paraId="1674596C">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1315" w:type="dxa"/>
            <w:vMerge w:val="continue"/>
            <w:shd w:val="clear" w:color="auto" w:fill="auto"/>
            <w:noWrap w:val="0"/>
            <w:vAlign w:val="center"/>
          </w:tcPr>
          <w:p w14:paraId="31E43AB5">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lang w:val="en-US" w:eastAsia="zh-CN"/>
              </w:rPr>
            </w:pPr>
          </w:p>
        </w:tc>
        <w:tc>
          <w:tcPr>
            <w:tcW w:w="1783" w:type="dxa"/>
            <w:shd w:val="clear" w:color="auto" w:fill="auto"/>
            <w:noWrap w:val="0"/>
            <w:vAlign w:val="center"/>
          </w:tcPr>
          <w:p w14:paraId="67E1BCF4">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lang w:val="en-US" w:eastAsia="zh-CN"/>
              </w:rPr>
              <w:t>排水管道</w:t>
            </w:r>
          </w:p>
        </w:tc>
        <w:tc>
          <w:tcPr>
            <w:tcW w:w="3925" w:type="dxa"/>
            <w:shd w:val="clear" w:color="auto" w:fill="auto"/>
            <w:noWrap w:val="0"/>
            <w:vAlign w:val="center"/>
          </w:tcPr>
          <w:p w14:paraId="1833008D">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lang w:val="en-US" w:eastAsia="zh-CN"/>
              </w:rPr>
              <w:t>清洗室外机及疏通下泄排水管道。</w:t>
            </w:r>
          </w:p>
        </w:tc>
        <w:tc>
          <w:tcPr>
            <w:tcW w:w="1387" w:type="dxa"/>
            <w:shd w:val="clear" w:color="auto" w:fill="auto"/>
            <w:noWrap w:val="0"/>
            <w:vAlign w:val="center"/>
          </w:tcPr>
          <w:p w14:paraId="5FAC1A5B">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lang w:eastAsia="zh-CN"/>
              </w:rPr>
              <w:t>每</w:t>
            </w:r>
            <w:r>
              <w:rPr>
                <w:rFonts w:hint="eastAsia" w:ascii="宋体" w:hAnsi="宋体" w:eastAsia="宋体" w:cs="宋体"/>
                <w:i w:val="0"/>
                <w:iCs w:val="0"/>
                <w:color w:val="auto"/>
                <w:sz w:val="24"/>
                <w:szCs w:val="24"/>
                <w:lang w:val="en-US" w:eastAsia="zh-CN"/>
              </w:rPr>
              <w:t>季度一次</w:t>
            </w:r>
          </w:p>
        </w:tc>
      </w:tr>
      <w:tr w14:paraId="44AE0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vMerge w:val="continue"/>
            <w:shd w:val="clear" w:color="auto" w:fill="FFFFFF"/>
            <w:noWrap w:val="0"/>
            <w:vAlign w:val="center"/>
          </w:tcPr>
          <w:p w14:paraId="40DF0BAD">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1315" w:type="dxa"/>
            <w:vMerge w:val="continue"/>
            <w:shd w:val="clear" w:color="auto" w:fill="auto"/>
            <w:noWrap w:val="0"/>
            <w:vAlign w:val="center"/>
          </w:tcPr>
          <w:p w14:paraId="70B3054C">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lang w:val="en-US" w:eastAsia="zh-CN"/>
              </w:rPr>
            </w:pPr>
          </w:p>
        </w:tc>
        <w:tc>
          <w:tcPr>
            <w:tcW w:w="1783" w:type="dxa"/>
            <w:shd w:val="clear" w:color="auto" w:fill="auto"/>
            <w:noWrap w:val="0"/>
            <w:vAlign w:val="center"/>
          </w:tcPr>
          <w:p w14:paraId="79E329B0">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lang w:val="en-US" w:eastAsia="zh-CN"/>
              </w:rPr>
              <w:t>空气滤网</w:t>
            </w:r>
          </w:p>
        </w:tc>
        <w:tc>
          <w:tcPr>
            <w:tcW w:w="3925" w:type="dxa"/>
            <w:shd w:val="clear" w:color="auto" w:fill="auto"/>
            <w:noWrap w:val="0"/>
            <w:vAlign w:val="center"/>
          </w:tcPr>
          <w:p w14:paraId="03EED916">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lang w:val="en-US" w:eastAsia="zh-CN"/>
              </w:rPr>
              <w:t>查看空气滤网洁净度,视清洁程度在适当时候更换空气滤网。</w:t>
            </w:r>
          </w:p>
        </w:tc>
        <w:tc>
          <w:tcPr>
            <w:tcW w:w="1387" w:type="dxa"/>
            <w:shd w:val="clear" w:color="auto" w:fill="auto"/>
            <w:noWrap w:val="0"/>
            <w:vAlign w:val="center"/>
          </w:tcPr>
          <w:p w14:paraId="5DD3FE0C">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lang w:eastAsia="zh-CN"/>
              </w:rPr>
              <w:t>每</w:t>
            </w:r>
            <w:r>
              <w:rPr>
                <w:rFonts w:hint="eastAsia" w:ascii="宋体" w:hAnsi="宋体" w:eastAsia="宋体" w:cs="宋体"/>
                <w:i w:val="0"/>
                <w:iCs w:val="0"/>
                <w:color w:val="auto"/>
                <w:sz w:val="24"/>
                <w:szCs w:val="24"/>
                <w:lang w:val="en-US" w:eastAsia="zh-CN"/>
              </w:rPr>
              <w:t>季度一次</w:t>
            </w:r>
          </w:p>
        </w:tc>
      </w:tr>
      <w:tr w14:paraId="05917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vMerge w:val="continue"/>
            <w:shd w:val="clear" w:color="auto" w:fill="FFFFFF"/>
            <w:noWrap w:val="0"/>
            <w:vAlign w:val="center"/>
          </w:tcPr>
          <w:p w14:paraId="10529607">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rPr>
            </w:pPr>
          </w:p>
        </w:tc>
        <w:tc>
          <w:tcPr>
            <w:tcW w:w="1315" w:type="dxa"/>
            <w:vMerge w:val="continue"/>
            <w:shd w:val="clear" w:color="auto" w:fill="auto"/>
            <w:noWrap w:val="0"/>
            <w:vAlign w:val="center"/>
          </w:tcPr>
          <w:p w14:paraId="043FBB4F">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lang w:val="en-US" w:eastAsia="zh-CN"/>
              </w:rPr>
            </w:pPr>
          </w:p>
        </w:tc>
        <w:tc>
          <w:tcPr>
            <w:tcW w:w="1783" w:type="dxa"/>
            <w:shd w:val="clear" w:color="auto" w:fill="auto"/>
            <w:noWrap w:val="0"/>
            <w:vAlign w:val="center"/>
          </w:tcPr>
          <w:p w14:paraId="580CED0D">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lang w:val="en-US" w:eastAsia="zh-CN"/>
              </w:rPr>
              <w:t>服务报告</w:t>
            </w:r>
          </w:p>
        </w:tc>
        <w:tc>
          <w:tcPr>
            <w:tcW w:w="3925" w:type="dxa"/>
            <w:shd w:val="clear" w:color="auto" w:fill="auto"/>
            <w:noWrap w:val="0"/>
            <w:vAlign w:val="center"/>
          </w:tcPr>
          <w:p w14:paraId="189653B4">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lang w:val="en-US" w:eastAsia="zh-CN"/>
              </w:rPr>
              <w:t>向用户提交所有服务报告及测试记录。</w:t>
            </w:r>
          </w:p>
        </w:tc>
        <w:tc>
          <w:tcPr>
            <w:tcW w:w="1387" w:type="dxa"/>
            <w:shd w:val="clear" w:color="auto" w:fill="auto"/>
            <w:noWrap w:val="0"/>
            <w:vAlign w:val="center"/>
          </w:tcPr>
          <w:p w14:paraId="4D588E12">
            <w:pPr>
              <w:pStyle w:val="10"/>
              <w:tabs>
                <w:tab w:val="left" w:pos="425"/>
              </w:tabs>
              <w:bidi w:val="0"/>
              <w:spacing w:line="240" w:lineRule="auto"/>
              <w:ind w:left="0" w:leftChars="0" w:firstLine="0" w:firstLineChars="0"/>
              <w:rPr>
                <w:rFonts w:hint="eastAsia"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lang w:eastAsia="zh-CN"/>
              </w:rPr>
              <w:t>每</w:t>
            </w:r>
            <w:r>
              <w:rPr>
                <w:rFonts w:hint="eastAsia" w:ascii="宋体" w:hAnsi="宋体" w:eastAsia="宋体" w:cs="宋体"/>
                <w:i w:val="0"/>
                <w:iCs w:val="0"/>
                <w:color w:val="auto"/>
                <w:sz w:val="24"/>
                <w:szCs w:val="24"/>
                <w:lang w:val="en-US" w:eastAsia="zh-CN"/>
              </w:rPr>
              <w:t>季度一次</w:t>
            </w:r>
          </w:p>
        </w:tc>
      </w:tr>
    </w:tbl>
    <w:p w14:paraId="55443E59">
      <w:pPr>
        <w:spacing w:before="300" w:after="120" w:line="360" w:lineRule="auto"/>
        <w:ind w:left="0" w:firstLine="480" w:firstLineChars="200"/>
        <w:jc w:val="left"/>
        <w:outlineLvl w:val="9"/>
        <w:rPr>
          <w:rFonts w:hint="eastAsia" w:ascii="宋体" w:hAnsi="宋体" w:eastAsia="宋体" w:cs="宋体"/>
          <w:b w:val="0"/>
          <w:bCs/>
          <w:color w:val="auto"/>
          <w:sz w:val="24"/>
          <w:szCs w:val="24"/>
          <w:highlight w:val="none"/>
        </w:rPr>
      </w:pPr>
      <w:bookmarkStart w:id="16" w:name="heading_14"/>
      <w:bookmarkStart w:id="17" w:name="_Toc28058"/>
      <w:r>
        <w:rPr>
          <w:rFonts w:hint="eastAsia" w:ascii="宋体" w:hAnsi="宋体" w:eastAsia="宋体" w:cs="宋体"/>
          <w:b w:val="0"/>
          <w:bCs/>
          <w:color w:val="auto"/>
          <w:sz w:val="24"/>
          <w:szCs w:val="24"/>
          <w:highlight w:val="none"/>
          <w:lang w:val="en-US" w:eastAsia="zh-CN"/>
        </w:rPr>
        <w:t>2.7.3</w:t>
      </w:r>
      <w:r>
        <w:rPr>
          <w:rFonts w:hint="eastAsia" w:ascii="宋体" w:hAnsi="宋体" w:eastAsia="宋体" w:cs="宋体"/>
          <w:b w:val="0"/>
          <w:bCs/>
          <w:color w:val="auto"/>
          <w:sz w:val="24"/>
          <w:szCs w:val="24"/>
          <w:highlight w:val="none"/>
        </w:rPr>
        <w:t xml:space="preserve"> 定期标准化巡检</w:t>
      </w:r>
      <w:bookmarkEnd w:id="16"/>
      <w:bookmarkEnd w:id="17"/>
      <w:r>
        <w:rPr>
          <w:rFonts w:hint="eastAsia" w:ascii="宋体" w:hAnsi="宋体" w:eastAsia="宋体" w:cs="宋体"/>
          <w:b w:val="0"/>
          <w:bCs w:val="0"/>
          <w:color w:val="auto"/>
          <w:kern w:val="2"/>
          <w:sz w:val="24"/>
          <w:szCs w:val="24"/>
          <w:highlight w:val="none"/>
          <w:lang w:val="zh-CN" w:eastAsia="zh-CN" w:bidi="ar-SA"/>
        </w:rPr>
        <w:t>标准</w:t>
      </w:r>
    </w:p>
    <w:p w14:paraId="118704E7">
      <w:pPr>
        <w:spacing w:line="360" w:lineRule="auto"/>
        <w:ind w:firstLine="48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制定季度、年度标准化巡检计划，每季度开展深度巡检，对制冷、供配电、消防、UPS进行全面检测保养；每年开展全面性能测评，出具巡检报告与优化建议，建立完整</w:t>
      </w:r>
      <w:r>
        <w:rPr>
          <w:rFonts w:hint="eastAsia" w:ascii="宋体" w:hAnsi="宋体" w:eastAsia="宋体" w:cs="宋体"/>
          <w:color w:val="auto"/>
          <w:sz w:val="24"/>
          <w:szCs w:val="24"/>
          <w:lang w:val="en-US" w:eastAsia="zh-CN"/>
        </w:rPr>
        <w:t>知识库管理工具，</w:t>
      </w:r>
      <w:r>
        <w:rPr>
          <w:rFonts w:hint="eastAsia" w:ascii="宋体" w:hAnsi="宋体" w:eastAsia="宋体" w:cs="宋体"/>
          <w:color w:val="auto"/>
          <w:sz w:val="24"/>
          <w:szCs w:val="24"/>
        </w:rPr>
        <w:t>所有文档采用统一正式格式，内容规范、表述清晰、数据真实</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巡检内容具体包括：</w:t>
      </w:r>
    </w:p>
    <w:p w14:paraId="4E8A5D9C">
      <w:pPr>
        <w:spacing w:line="360" w:lineRule="auto"/>
        <w:ind w:firstLine="480"/>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服务商根据服务内容提供的知识库</w:t>
      </w:r>
      <w:r>
        <w:rPr>
          <w:rFonts w:hint="eastAsia" w:ascii="宋体" w:hAnsi="宋体" w:eastAsia="宋体" w:cs="宋体"/>
          <w:color w:val="auto"/>
          <w:sz w:val="24"/>
          <w:szCs w:val="24"/>
          <w:lang w:eastAsia="zh-CN"/>
        </w:rPr>
        <w:t>工具</w:t>
      </w:r>
      <w:r>
        <w:rPr>
          <w:rFonts w:hint="eastAsia" w:ascii="宋体" w:hAnsi="宋体" w:eastAsia="宋体" w:cs="宋体"/>
          <w:color w:val="auto"/>
          <w:sz w:val="24"/>
          <w:szCs w:val="24"/>
          <w:lang w:val="en-US" w:eastAsia="zh-CN"/>
        </w:rPr>
        <w:t>，具备上传文档的全文检索、自定义分段与数据清理功能，格式包括支持多格式文档批量上传，包含文档类txt md markdownmdx pdf doc docx、表格类xlsx xls csv演示pptx ppt字幕vtt代码/数据json xml yamlyml html htm log properties 以及图片扫描件等，上传后系统自动完成全文检索索引构建，上传完成即可全文字段检索，支持知识的版本管理与审核发布及全文检索与智能推荐功能，通过智能体检索输出是通过语音和文字提问即可获取答案，自助式问答的功能。（</w:t>
      </w:r>
      <w:r>
        <w:rPr>
          <w:rFonts w:hint="eastAsia" w:ascii="宋体" w:hAnsi="宋体" w:eastAsia="宋体" w:cs="宋体"/>
          <w:b/>
          <w:bCs/>
          <w:color w:val="auto"/>
          <w:sz w:val="24"/>
          <w:szCs w:val="24"/>
          <w:lang w:val="en-US" w:eastAsia="zh-CN"/>
        </w:rPr>
        <w:t>报名时需提供运维管理软件的智能体知识库功能截图证明）</w:t>
      </w:r>
      <w:r>
        <w:rPr>
          <w:rFonts w:hint="eastAsia" w:ascii="宋体" w:hAnsi="宋体" w:eastAsia="宋体" w:cs="宋体"/>
          <w:color w:val="auto"/>
          <w:sz w:val="24"/>
          <w:szCs w:val="24"/>
        </w:rPr>
        <w:t>。</w:t>
      </w:r>
    </w:p>
    <w:p w14:paraId="53F529B1">
      <w:pPr>
        <w:numPr>
          <w:ilvl w:val="0"/>
          <w:numId w:val="2"/>
        </w:numPr>
        <w:spacing w:before="300" w:after="120" w:line="360" w:lineRule="auto"/>
        <w:ind w:left="420" w:leftChars="0" w:hanging="420" w:firstLineChars="0"/>
        <w:jc w:val="left"/>
        <w:outlineLvl w:val="9"/>
        <w:rPr>
          <w:rFonts w:hint="eastAsia" w:ascii="宋体" w:hAnsi="宋体" w:eastAsia="宋体" w:cs="宋体"/>
          <w:b w:val="0"/>
          <w:bCs/>
          <w:color w:val="auto"/>
          <w:sz w:val="24"/>
          <w:szCs w:val="24"/>
        </w:rPr>
      </w:pPr>
      <w:bookmarkStart w:id="18" w:name="_Toc22536"/>
      <w:bookmarkStart w:id="19" w:name="heading_15"/>
      <w:r>
        <w:rPr>
          <w:rFonts w:hint="eastAsia" w:ascii="宋体" w:hAnsi="宋体" w:eastAsia="宋体" w:cs="宋体"/>
          <w:b w:val="0"/>
          <w:bCs/>
          <w:color w:val="auto"/>
          <w:sz w:val="24"/>
          <w:szCs w:val="24"/>
        </w:rPr>
        <w:t>7×24小时应急响应</w:t>
      </w:r>
      <w:bookmarkEnd w:id="18"/>
      <w:bookmarkEnd w:id="19"/>
    </w:p>
    <w:p w14:paraId="7AD34C1E">
      <w:pPr>
        <w:spacing w:before="120" w:after="120" w:line="360" w:lineRule="auto"/>
        <w:ind w:left="0"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组建专属运维应急小组，针对校园机房特殊需求，提供7×24小时不间断应急响应服务，市区内极速上门抢修，针对空调跳闸、供电故障、监控告警、消防异常等突发情况，第一时间定位故障、快速处置，最大限度缩短故障停机时间，保障校园核心业务不中断。</w:t>
      </w:r>
    </w:p>
    <w:p w14:paraId="26795075">
      <w:pPr>
        <w:numPr>
          <w:ilvl w:val="0"/>
          <w:numId w:val="2"/>
        </w:numPr>
        <w:spacing w:before="300" w:after="120" w:line="360" w:lineRule="auto"/>
        <w:ind w:left="420" w:leftChars="0" w:hanging="420" w:firstLineChars="0"/>
        <w:jc w:val="left"/>
        <w:outlineLvl w:val="9"/>
        <w:rPr>
          <w:rFonts w:hint="eastAsia" w:ascii="宋体" w:hAnsi="宋体" w:eastAsia="宋体" w:cs="宋体"/>
          <w:b w:val="0"/>
          <w:bCs/>
          <w:color w:val="auto"/>
          <w:sz w:val="24"/>
          <w:szCs w:val="24"/>
        </w:rPr>
      </w:pPr>
      <w:bookmarkStart w:id="20" w:name="_Toc25135"/>
      <w:bookmarkStart w:id="21" w:name="heading_16"/>
      <w:r>
        <w:rPr>
          <w:rFonts w:hint="eastAsia" w:ascii="宋体" w:hAnsi="宋体" w:eastAsia="宋体" w:cs="宋体"/>
          <w:b w:val="0"/>
          <w:bCs/>
          <w:color w:val="auto"/>
          <w:sz w:val="24"/>
          <w:szCs w:val="24"/>
        </w:rPr>
        <w:t>设备全生命周期管理</w:t>
      </w:r>
      <w:bookmarkEnd w:id="20"/>
      <w:bookmarkEnd w:id="21"/>
    </w:p>
    <w:p w14:paraId="101DD469">
      <w:pPr>
        <w:spacing w:before="120" w:after="120" w:line="360" w:lineRule="auto"/>
        <w:ind w:left="0"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对机房所有设备建立专属档案，记录设备型号、运行时长、维保记录、故障历史、老化状态，提前预判设备老化、部件损耗问题，制定预防性更换方案，避免设备带病运行，延长UPS、空调、配电柜等核心设备使用寿命，降低校园设备更换成本。</w:t>
      </w:r>
    </w:p>
    <w:p w14:paraId="50C465E8">
      <w:pPr>
        <w:numPr>
          <w:ilvl w:val="0"/>
          <w:numId w:val="2"/>
        </w:numPr>
        <w:spacing w:before="300" w:after="120" w:line="360" w:lineRule="auto"/>
        <w:ind w:left="420" w:leftChars="0" w:hanging="420" w:firstLineChars="0"/>
        <w:jc w:val="left"/>
        <w:outlineLvl w:val="9"/>
        <w:rPr>
          <w:rFonts w:hint="eastAsia" w:ascii="宋体" w:hAnsi="宋体" w:eastAsia="宋体" w:cs="宋体"/>
          <w:b w:val="0"/>
          <w:bCs/>
          <w:color w:val="auto"/>
          <w:sz w:val="24"/>
          <w:szCs w:val="24"/>
          <w:lang w:val="en-US" w:eastAsia="zh-CN"/>
        </w:rPr>
      </w:pPr>
      <w:bookmarkStart w:id="22" w:name="_Toc6802"/>
      <w:bookmarkStart w:id="23" w:name="heading_17"/>
      <w:r>
        <w:rPr>
          <w:rFonts w:hint="eastAsia" w:ascii="宋体" w:hAnsi="宋体" w:eastAsia="宋体" w:cs="宋体"/>
          <w:b w:val="0"/>
          <w:bCs/>
          <w:color w:val="auto"/>
          <w:sz w:val="24"/>
          <w:szCs w:val="24"/>
          <w:lang w:val="en-US" w:eastAsia="zh-CN"/>
        </w:rPr>
        <w:t xml:space="preserve"> 高校专属运维适配</w:t>
      </w:r>
      <w:bookmarkEnd w:id="22"/>
      <w:bookmarkEnd w:id="23"/>
    </w:p>
    <w:p w14:paraId="46F36661">
      <w:pPr>
        <w:spacing w:before="120" w:after="120" w:line="360" w:lineRule="auto"/>
        <w:ind w:left="0"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贴合学校教学、考试、开学、放假等特殊时段需求，优化运维时间，避开教学高峰期开展维保作业；在期末考试、开学报到、线上教学、职业技能考试等核心时段，增加巡检频次，启动专项保障模式，全力保障教务系统、校园网络稳定运行；配合学校信息化管理部门，完成各类</w:t>
      </w:r>
      <w:r>
        <w:rPr>
          <w:rFonts w:hint="eastAsia" w:ascii="宋体" w:hAnsi="宋体" w:eastAsia="宋体" w:cs="宋体"/>
          <w:color w:val="auto"/>
          <w:sz w:val="24"/>
          <w:szCs w:val="24"/>
          <w:lang w:val="en-US" w:eastAsia="zh-CN"/>
        </w:rPr>
        <w:t>基础环境</w:t>
      </w:r>
      <w:r>
        <w:rPr>
          <w:rFonts w:hint="eastAsia" w:ascii="宋体" w:hAnsi="宋体" w:eastAsia="宋体" w:cs="宋体"/>
          <w:color w:val="auto"/>
          <w:sz w:val="24"/>
          <w:szCs w:val="24"/>
        </w:rPr>
        <w:t>安全检查、数据上报、合规工作。</w:t>
      </w:r>
    </w:p>
    <w:p w14:paraId="456783A3">
      <w:pPr>
        <w:numPr>
          <w:ilvl w:val="0"/>
          <w:numId w:val="2"/>
        </w:numPr>
        <w:spacing w:before="300" w:after="120" w:line="360" w:lineRule="auto"/>
        <w:ind w:left="420" w:leftChars="0" w:hanging="420" w:firstLineChars="0"/>
        <w:jc w:val="left"/>
        <w:outlineLvl w:val="9"/>
        <w:rPr>
          <w:rFonts w:hint="eastAsia" w:ascii="宋体" w:hAnsi="宋体" w:eastAsia="宋体" w:cs="宋体"/>
          <w:b w:val="0"/>
          <w:bCs/>
          <w:color w:val="auto"/>
          <w:sz w:val="24"/>
          <w:szCs w:val="24"/>
          <w:lang w:val="en-US" w:eastAsia="zh-CN"/>
        </w:rPr>
      </w:pPr>
      <w:bookmarkStart w:id="24" w:name="_Toc4949"/>
      <w:r>
        <w:rPr>
          <w:rFonts w:hint="eastAsia" w:ascii="宋体" w:hAnsi="宋体" w:eastAsia="宋体" w:cs="宋体"/>
          <w:b w:val="0"/>
          <w:bCs/>
          <w:color w:val="auto"/>
          <w:sz w:val="24"/>
          <w:szCs w:val="24"/>
          <w:lang w:val="en-US" w:eastAsia="zh-CN"/>
        </w:rPr>
        <w:t>专业标准化服务保障</w:t>
      </w:r>
      <w:bookmarkEnd w:id="24"/>
    </w:p>
    <w:p w14:paraId="6B9BD069">
      <w:pPr>
        <w:spacing w:before="120" w:after="120" w:line="360" w:lineRule="auto"/>
        <w:ind w:left="0"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该机房</w:t>
      </w:r>
      <w:r>
        <w:rPr>
          <w:rFonts w:hint="eastAsia" w:ascii="宋体" w:hAnsi="宋体" w:eastAsia="宋体" w:cs="宋体"/>
          <w:color w:val="auto"/>
          <w:sz w:val="24"/>
          <w:szCs w:val="24"/>
        </w:rPr>
        <w:t>作为</w:t>
      </w:r>
      <w:r>
        <w:rPr>
          <w:rFonts w:hint="eastAsia" w:ascii="宋体" w:hAnsi="宋体" w:eastAsia="宋体" w:cs="宋体"/>
          <w:color w:val="auto"/>
          <w:sz w:val="24"/>
          <w:szCs w:val="24"/>
          <w:lang w:val="en-US" w:eastAsia="zh-CN"/>
        </w:rPr>
        <w:t>校方</w:t>
      </w:r>
      <w:r>
        <w:rPr>
          <w:rFonts w:hint="eastAsia" w:ascii="宋体" w:hAnsi="宋体" w:eastAsia="宋体" w:cs="宋体"/>
          <w:color w:val="auto"/>
          <w:sz w:val="24"/>
          <w:szCs w:val="24"/>
        </w:rPr>
        <w:t>数据存储、业务支撑的核心载体，其运维服务的稳定性、高效性直接关系到</w:t>
      </w:r>
      <w:r>
        <w:rPr>
          <w:rFonts w:hint="eastAsia" w:ascii="宋体" w:hAnsi="宋体" w:eastAsia="宋体" w:cs="宋体"/>
          <w:color w:val="auto"/>
          <w:sz w:val="24"/>
          <w:szCs w:val="24"/>
          <w:lang w:val="en-US" w:eastAsia="zh-CN"/>
        </w:rPr>
        <w:t>校方的教学</w:t>
      </w:r>
      <w:r>
        <w:rPr>
          <w:rFonts w:hint="eastAsia" w:ascii="宋体" w:hAnsi="宋体" w:eastAsia="宋体" w:cs="宋体"/>
          <w:color w:val="auto"/>
          <w:sz w:val="24"/>
          <w:szCs w:val="24"/>
        </w:rPr>
        <w:t>的正常开展。为筑牢</w:t>
      </w:r>
      <w:r>
        <w:rPr>
          <w:rFonts w:hint="eastAsia" w:ascii="宋体" w:hAnsi="宋体" w:eastAsia="宋体" w:cs="宋体"/>
          <w:color w:val="auto"/>
          <w:sz w:val="24"/>
          <w:szCs w:val="24"/>
          <w:lang w:val="en-US" w:eastAsia="zh-CN"/>
        </w:rPr>
        <w:t>校方</w:t>
      </w:r>
      <w:r>
        <w:rPr>
          <w:rFonts w:hint="eastAsia" w:ascii="宋体" w:hAnsi="宋体" w:eastAsia="宋体" w:cs="宋体"/>
          <w:color w:val="auto"/>
          <w:sz w:val="24"/>
          <w:szCs w:val="24"/>
        </w:rPr>
        <w:t>运维服务防线，切实保障平台7×24小时稳定运行，特建立全流程标准化保障体系，结合自主研发的标准化运维平台，实现运维服务的规范化、智能化、可追溯，同时通过科学的考核机制持续优化服务质量，全方位满足用户的核心需求。</w:t>
      </w:r>
    </w:p>
    <w:p w14:paraId="03898F87">
      <w:pPr>
        <w:spacing w:before="120" w:after="120" w:line="360" w:lineRule="auto"/>
        <w:ind w:left="0"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以“闭环管理、高效响应、精准处置、持续优化”为核心，构建覆盖运维全场景的标准化流程，明确各环节职责、操作规范和时间要求，确保每一项运维工作有章可循、有据可查，杜绝服务漏洞和流程脱节。</w:t>
      </w:r>
    </w:p>
    <w:p w14:paraId="0ECEFB28">
      <w:pPr>
        <w:numPr>
          <w:ilvl w:val="0"/>
          <w:numId w:val="3"/>
        </w:numPr>
        <w:spacing w:before="260" w:after="120" w:line="360" w:lineRule="auto"/>
        <w:ind w:left="425" w:leftChars="0" w:hanging="5" w:firstLineChars="0"/>
        <w:jc w:val="left"/>
        <w:outlineLvl w:val="9"/>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故障处置闭环流程</w:t>
      </w:r>
    </w:p>
    <w:p w14:paraId="523E10D2">
      <w:pPr>
        <w:spacing w:before="120" w:after="120" w:line="360" w:lineRule="auto"/>
        <w:ind w:left="0"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建立“上报-响应-处置-复盘-闭环”全链条故障处理机制，打通多渠道上报入口，确保故障快速发现、及时响应、高效解决。可通过微信、APP、PC端、企业微信、钉钉等多平台一键报修，也可通过扫码快速提交故障请求，实现故障上报“零门槛”。故障上报后，系统根据故障等级自动分配优先级，运维人员通过标准化运维平台接收工单，严格按照预设时效响应（一般故障15分钟内响应，重大故障5分钟内响应），处置过程中实时更新工单状态，同步上传现场图片、处理日志等资料，确保用户实时掌握进度。故障解决后，需完成服务报告归档，组织专人复盘故障原因、优化处置方案，形成“发现-解决-复盘-优化”的闭环管理，避免同类故障重复发生。</w:t>
      </w:r>
    </w:p>
    <w:p w14:paraId="237CE9F6">
      <w:pPr>
        <w:numPr>
          <w:ilvl w:val="0"/>
          <w:numId w:val="3"/>
        </w:numPr>
        <w:spacing w:before="260" w:after="120" w:line="360" w:lineRule="auto"/>
        <w:ind w:left="425" w:leftChars="0" w:hanging="5" w:firstLineChars="0"/>
        <w:jc w:val="left"/>
        <w:outlineLvl w:val="9"/>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日常巡检标准化流程</w:t>
      </w:r>
    </w:p>
    <w:p w14:paraId="406BC357">
      <w:pPr>
        <w:spacing w:before="120" w:after="120" w:line="360" w:lineRule="auto"/>
        <w:ind w:left="0"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依托</w:t>
      </w:r>
      <w:r>
        <w:rPr>
          <w:rFonts w:hint="eastAsia" w:ascii="宋体" w:hAnsi="宋体" w:eastAsia="宋体" w:cs="宋体"/>
          <w:color w:val="auto"/>
          <w:sz w:val="24"/>
          <w:szCs w:val="24"/>
          <w:lang w:val="en-US" w:eastAsia="zh-CN"/>
        </w:rPr>
        <w:t>数据中心标准化IT</w:t>
      </w:r>
      <w:r>
        <w:rPr>
          <w:rFonts w:hint="eastAsia" w:ascii="宋体" w:hAnsi="宋体" w:eastAsia="宋体" w:cs="宋体"/>
          <w:color w:val="auto"/>
          <w:sz w:val="24"/>
          <w:szCs w:val="24"/>
        </w:rPr>
        <w:t>运维平台的巡检工单功能，实现巡检工作的标准化、自动化开展。需提供以下综合运维管理与服务保障工具：</w:t>
      </w:r>
    </w:p>
    <w:p w14:paraId="3AFC0F64">
      <w:pPr>
        <w:numPr>
          <w:ilvl w:val="0"/>
          <w:numId w:val="4"/>
        </w:numPr>
        <w:spacing w:before="120" w:after="120" w:line="360" w:lineRule="auto"/>
        <w:ind w:left="0" w:leftChars="0"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设备台账服务工具，工具需包含机房位置、设备编码、机柜号/U位、设备类型、名称、状态、品牌型号、SN码、启用日期、重点巡检标识、保修状态。关联设备的运维数据，包括历史巡检记录、维修工单、服务报告等，并可根据设备状态自动触发巡检提醒或保修预警。（</w:t>
      </w:r>
      <w:r>
        <w:rPr>
          <w:rFonts w:hint="eastAsia" w:ascii="宋体" w:hAnsi="宋体" w:eastAsia="宋体" w:cs="宋体"/>
          <w:b/>
          <w:bCs/>
          <w:color w:val="auto"/>
          <w:sz w:val="24"/>
          <w:szCs w:val="24"/>
          <w:lang w:eastAsia="zh-CN"/>
        </w:rPr>
        <w:t>报名时</w:t>
      </w:r>
      <w:r>
        <w:rPr>
          <w:rFonts w:hint="eastAsia" w:ascii="宋体" w:hAnsi="宋体" w:eastAsia="宋体" w:cs="宋体"/>
          <w:b/>
          <w:bCs/>
          <w:color w:val="auto"/>
          <w:sz w:val="24"/>
          <w:szCs w:val="24"/>
        </w:rPr>
        <w:t>提供经国家认可的第三方检测机构出具的封面带有CMA或者CNAS标识的有效检测报告复印件</w:t>
      </w:r>
      <w:r>
        <w:rPr>
          <w:rFonts w:hint="eastAsia" w:ascii="宋体" w:hAnsi="宋体" w:eastAsia="宋体" w:cs="宋体"/>
          <w:color w:val="auto"/>
          <w:sz w:val="24"/>
          <w:szCs w:val="24"/>
        </w:rPr>
        <w:t>）</w:t>
      </w:r>
    </w:p>
    <w:p w14:paraId="6FB5113D">
      <w:pPr>
        <w:numPr>
          <w:ilvl w:val="0"/>
          <w:numId w:val="4"/>
        </w:numPr>
        <w:spacing w:before="120" w:after="120" w:line="360" w:lineRule="auto"/>
        <w:ind w:left="0" w:leftChars="0"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故障处置管理服务工具，工具需包括展示WBS计划（负责人、计划开始、状态、任务总数、已完成任务、任务完成率）和里程碑（任务名称、负责人、状态、关闭日期）；风险管理具备风险名称、发生概率、影响程度、风险等级、状态、描述、分析及责任人。支持自定义预警规则（如工期超期自动通知），所有管理要素智能关联，变更时自动触发同步更新。（</w:t>
      </w:r>
      <w:r>
        <w:rPr>
          <w:rFonts w:hint="eastAsia" w:ascii="宋体" w:hAnsi="宋体" w:eastAsia="宋体" w:cs="宋体"/>
          <w:b/>
          <w:bCs/>
          <w:color w:val="auto"/>
          <w:sz w:val="24"/>
          <w:szCs w:val="24"/>
          <w:lang w:eastAsia="zh-CN"/>
        </w:rPr>
        <w:t>报名时</w:t>
      </w:r>
      <w:r>
        <w:rPr>
          <w:rFonts w:hint="eastAsia" w:ascii="宋体" w:hAnsi="宋体" w:eastAsia="宋体" w:cs="宋体"/>
          <w:b/>
          <w:bCs/>
          <w:color w:val="auto"/>
          <w:sz w:val="24"/>
          <w:szCs w:val="24"/>
        </w:rPr>
        <w:t>提供经国家认可的第三方检测机构出具的封面带有CMA或者CNAS标识的有效检测报告复印件）</w:t>
      </w:r>
    </w:p>
    <w:p w14:paraId="1FE6B54A">
      <w:pPr>
        <w:numPr>
          <w:ilvl w:val="0"/>
          <w:numId w:val="4"/>
        </w:numPr>
        <w:spacing w:before="120" w:after="120" w:line="360" w:lineRule="auto"/>
        <w:ind w:left="0" w:leftChars="0" w:firstLine="480" w:firstLineChars="200"/>
        <w:jc w:val="left"/>
        <w:rPr>
          <w:rFonts w:hint="eastAsia" w:ascii="宋体" w:hAnsi="宋体" w:eastAsia="宋体" w:cs="宋体"/>
          <w:b/>
          <w:bCs/>
          <w:color w:val="auto"/>
          <w:sz w:val="24"/>
          <w:szCs w:val="24"/>
        </w:rPr>
      </w:pPr>
      <w:r>
        <w:rPr>
          <w:rFonts w:hint="eastAsia" w:ascii="宋体" w:hAnsi="宋体" w:eastAsia="宋体" w:cs="宋体"/>
          <w:color w:val="auto"/>
          <w:sz w:val="24"/>
          <w:szCs w:val="24"/>
        </w:rPr>
        <w:t>服务保障工具，工具需包括实时展示项目基础信息（项目名称、服务商名称、项目状态、开始时间、结束时间、合同附件及服务商团队成员档案包含姓名、职务、联系电话、技术服务能力）、服务过程全记录（工单处理流程、工程师服务轨迹及解决状态）、服务优化建议（含现场诊断分析及可下载的解决方案报告）。支持巡检计划时间轴，呈现计划节点、服务内容与成果报告。支持多终端实时同步，巡检报告和服务优化建议均支持在线预览。（</w:t>
      </w:r>
      <w:r>
        <w:rPr>
          <w:rFonts w:hint="eastAsia" w:ascii="宋体" w:hAnsi="宋体" w:eastAsia="宋体" w:cs="宋体"/>
          <w:b/>
          <w:bCs/>
          <w:color w:val="auto"/>
          <w:sz w:val="24"/>
          <w:szCs w:val="24"/>
          <w:lang w:eastAsia="zh-CN"/>
        </w:rPr>
        <w:t>报名时</w:t>
      </w:r>
      <w:r>
        <w:rPr>
          <w:rFonts w:hint="eastAsia" w:ascii="宋体" w:hAnsi="宋体" w:eastAsia="宋体" w:cs="宋体"/>
          <w:b/>
          <w:bCs/>
          <w:color w:val="auto"/>
          <w:sz w:val="24"/>
          <w:szCs w:val="24"/>
        </w:rPr>
        <w:t>提供经国家认可的第三方检测机构出具的封面带有CMA或者CNAS标识的有效检测报告复印件）</w:t>
      </w:r>
    </w:p>
    <w:p w14:paraId="3A089826">
      <w:pPr>
        <w:numPr>
          <w:ilvl w:val="0"/>
          <w:numId w:val="3"/>
        </w:numPr>
        <w:spacing w:before="260" w:after="120" w:line="360" w:lineRule="auto"/>
        <w:ind w:left="425" w:leftChars="0" w:hanging="5" w:firstLineChars="0"/>
        <w:jc w:val="left"/>
        <w:outlineLvl w:val="9"/>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维修与更新升级流程</w:t>
      </w:r>
    </w:p>
    <w:p w14:paraId="1F25D6EC">
      <w:pPr>
        <w:spacing w:before="120" w:after="120" w:line="360" w:lineRule="auto"/>
        <w:ind w:left="0"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针对设备故障维修，建立“报修-派单-维修-备件调配-验收-归档”标准化流程，运维人员接到维修工单后，快速携带适配备件到场服务，维修过程全程记录，维修完成后由用户验收确认，确保维修质量达标。对于平台软件、设备固件的更新升级，严格执行“方案审批-测试验证-灰度升级-全面部署-回滚预案”流程，提前评估升级风险，制定应急预案，升级过程中实时监控平台运行状态，避免升级操作对</w:t>
      </w:r>
      <w:r>
        <w:rPr>
          <w:rFonts w:hint="eastAsia" w:ascii="宋体" w:hAnsi="宋体" w:eastAsia="宋体" w:cs="宋体"/>
          <w:color w:val="auto"/>
          <w:sz w:val="24"/>
          <w:szCs w:val="24"/>
          <w:lang w:eastAsia="zh-CN"/>
        </w:rPr>
        <w:t>学校</w:t>
      </w:r>
      <w:r>
        <w:rPr>
          <w:rFonts w:hint="eastAsia" w:ascii="宋体" w:hAnsi="宋体" w:eastAsia="宋体" w:cs="宋体"/>
          <w:color w:val="auto"/>
          <w:sz w:val="24"/>
          <w:szCs w:val="24"/>
        </w:rPr>
        <w:t>业务造成影响，升级完成后同步更新运维资料，确保所有运维要素可追溯。</w:t>
      </w:r>
    </w:p>
    <w:p w14:paraId="742A0C20">
      <w:pPr>
        <w:numPr>
          <w:ilvl w:val="0"/>
          <w:numId w:val="3"/>
        </w:numPr>
        <w:spacing w:before="260" w:after="120" w:line="360" w:lineRule="auto"/>
        <w:ind w:left="425" w:leftChars="0" w:hanging="5" w:firstLineChars="0"/>
        <w:jc w:val="left"/>
        <w:outlineLvl w:val="9"/>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服务质量考核机制</w:t>
      </w:r>
    </w:p>
    <w:p w14:paraId="554538D7">
      <w:pPr>
        <w:spacing w:before="120" w:after="120" w:line="360" w:lineRule="auto"/>
        <w:ind w:left="0"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建立以用户需求为导向的服务质量考核体系，定期对运维服务的核心指标进行量化考核，倒逼服务质量持续提升。考核指标涵盖服务响应时效、故障解决率、巡检完成率、工单闭环率、客户满意度等，其中故障解决率需达到99.9%以上，核心故障响应时效不超过5分钟。考核结果与运维团队绩效直接挂钩，定期形成考核报告，针对考核中发现的问题，制定针对性优化方案，持续完善流程规范和工具功能，确保运维服务始终贴合</w:t>
      </w:r>
      <w:r>
        <w:rPr>
          <w:rFonts w:hint="eastAsia" w:ascii="宋体" w:hAnsi="宋体" w:eastAsia="宋体" w:cs="宋体"/>
          <w:color w:val="auto"/>
          <w:sz w:val="24"/>
          <w:szCs w:val="24"/>
          <w:lang w:val="en-US" w:eastAsia="zh-CN"/>
        </w:rPr>
        <w:t>学校</w:t>
      </w:r>
      <w:r>
        <w:rPr>
          <w:rFonts w:hint="eastAsia" w:ascii="宋体" w:hAnsi="宋体" w:eastAsia="宋体" w:cs="宋体"/>
          <w:color w:val="auto"/>
          <w:sz w:val="24"/>
          <w:szCs w:val="24"/>
        </w:rPr>
        <w:t>用户的实际需求。</w:t>
      </w:r>
    </w:p>
    <w:p w14:paraId="1CAD5A67">
      <w:pPr>
        <w:spacing w:before="320" w:after="120" w:line="360" w:lineRule="auto"/>
        <w:ind w:left="0" w:firstLine="480" w:firstLineChars="200"/>
        <w:jc w:val="left"/>
        <w:outlineLvl w:val="9"/>
        <w:rPr>
          <w:rFonts w:hint="eastAsia" w:ascii="宋体" w:hAnsi="宋体" w:eastAsia="宋体" w:cs="宋体"/>
          <w:b w:val="0"/>
          <w:bCs/>
          <w:color w:val="auto"/>
          <w:sz w:val="24"/>
          <w:szCs w:val="24"/>
        </w:rPr>
      </w:pPr>
      <w:bookmarkStart w:id="25" w:name="_Toc4090"/>
      <w:bookmarkStart w:id="26" w:name="heading_18"/>
      <w:r>
        <w:rPr>
          <w:rFonts w:hint="eastAsia" w:ascii="宋体" w:hAnsi="宋体" w:eastAsia="宋体" w:cs="宋体"/>
          <w:b w:val="0"/>
          <w:bCs/>
          <w:color w:val="auto"/>
          <w:sz w:val="24"/>
          <w:szCs w:val="24"/>
          <w:lang w:val="en-US" w:eastAsia="zh-CN"/>
        </w:rPr>
        <w:t>3</w:t>
      </w:r>
      <w:r>
        <w:rPr>
          <w:rFonts w:hint="eastAsia" w:ascii="宋体" w:hAnsi="宋体" w:eastAsia="宋体" w:cs="宋体"/>
          <w:b w:val="0"/>
          <w:bCs/>
          <w:color w:val="auto"/>
          <w:sz w:val="24"/>
          <w:szCs w:val="24"/>
        </w:rPr>
        <w:t xml:space="preserve"> </w:t>
      </w:r>
      <w:r>
        <w:rPr>
          <w:rFonts w:hint="eastAsia" w:ascii="宋体" w:hAnsi="宋体" w:eastAsia="宋体" w:cs="宋体"/>
          <w:b w:val="0"/>
          <w:bCs/>
          <w:color w:val="auto"/>
          <w:sz w:val="24"/>
          <w:szCs w:val="24"/>
          <w:lang w:eastAsia="zh-CN"/>
        </w:rPr>
        <w:t>、</w:t>
      </w:r>
      <w:r>
        <w:rPr>
          <w:rFonts w:hint="eastAsia" w:ascii="宋体" w:hAnsi="宋体" w:eastAsia="宋体" w:cs="宋体"/>
          <w:b w:val="0"/>
          <w:bCs/>
          <w:color w:val="auto"/>
          <w:sz w:val="24"/>
          <w:szCs w:val="24"/>
        </w:rPr>
        <w:t>运维服务交付标准</w:t>
      </w:r>
      <w:bookmarkEnd w:id="25"/>
      <w:bookmarkEnd w:id="26"/>
    </w:p>
    <w:p w14:paraId="1C8854D5">
      <w:pPr>
        <w:spacing w:before="156" w:line="360" w:lineRule="auto"/>
        <w:ind w:firstLine="48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完成相关巡检服务后由相关主责工程师撰写服务报告，在3个工作日内递交给单位保存，同时把所有的文档同步</w:t>
      </w:r>
      <w:r>
        <w:rPr>
          <w:rFonts w:hint="eastAsia" w:ascii="宋体" w:hAnsi="宋体" w:eastAsia="宋体" w:cs="宋体"/>
          <w:color w:val="auto"/>
          <w:sz w:val="24"/>
          <w:szCs w:val="24"/>
          <w:lang w:val="en-US" w:eastAsia="zh-CN"/>
        </w:rPr>
        <w:t>知识库</w:t>
      </w:r>
      <w:r>
        <w:rPr>
          <w:rFonts w:hint="eastAsia" w:ascii="宋体" w:hAnsi="宋体" w:eastAsia="宋体" w:cs="宋体"/>
          <w:color w:val="auto"/>
          <w:sz w:val="24"/>
          <w:szCs w:val="24"/>
          <w:lang w:eastAsia="zh-CN"/>
        </w:rPr>
        <w:t>工具</w:t>
      </w:r>
      <w:r>
        <w:rPr>
          <w:rFonts w:hint="eastAsia" w:ascii="宋体" w:hAnsi="宋体" w:eastAsia="宋体" w:cs="宋体"/>
          <w:color w:val="auto"/>
          <w:sz w:val="24"/>
          <w:szCs w:val="24"/>
          <w:lang w:val="en-US" w:eastAsia="zh-CN"/>
        </w:rPr>
        <w:t>系统里</w:t>
      </w:r>
      <w:r>
        <w:rPr>
          <w:rFonts w:hint="eastAsia" w:ascii="宋体" w:hAnsi="宋体" w:eastAsia="宋体" w:cs="宋体"/>
          <w:b w:val="0"/>
          <w:bCs w:val="0"/>
          <w:color w:val="auto"/>
          <w:kern w:val="2"/>
          <w:sz w:val="24"/>
          <w:szCs w:val="24"/>
          <w:lang w:val="en-US" w:eastAsia="zh-CN" w:bidi="ar-SA"/>
        </w:rPr>
        <w:t>。服务报告应该详细记录了该次服务的全过程及参与人员。</w:t>
      </w:r>
    </w:p>
    <w:p w14:paraId="5F7970CE">
      <w:pPr>
        <w:spacing w:before="156" w:line="360" w:lineRule="auto"/>
        <w:ind w:firstLine="48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运维</w:t>
      </w:r>
      <w:r>
        <w:rPr>
          <w:rFonts w:hint="eastAsia" w:ascii="宋体" w:hAnsi="宋体" w:eastAsia="宋体" w:cs="宋体"/>
          <w:b w:val="0"/>
          <w:bCs w:val="0"/>
          <w:color w:val="auto"/>
          <w:kern w:val="2"/>
          <w:sz w:val="24"/>
          <w:szCs w:val="24"/>
          <w:lang w:val="zh-CN" w:eastAsia="zh-CN" w:bidi="ar-SA"/>
        </w:rPr>
        <w:t>服务标准交付</w:t>
      </w:r>
      <w:r>
        <w:rPr>
          <w:rFonts w:hint="eastAsia" w:ascii="宋体" w:hAnsi="宋体" w:eastAsia="宋体" w:cs="宋体"/>
          <w:b w:val="0"/>
          <w:bCs w:val="0"/>
          <w:color w:val="auto"/>
          <w:kern w:val="2"/>
          <w:sz w:val="24"/>
          <w:szCs w:val="24"/>
          <w:lang w:val="en-US" w:eastAsia="zh-CN" w:bidi="ar-SA"/>
        </w:rPr>
        <w:t>验收</w:t>
      </w:r>
      <w:r>
        <w:rPr>
          <w:rFonts w:hint="eastAsia" w:ascii="宋体" w:hAnsi="宋体" w:eastAsia="宋体" w:cs="宋体"/>
          <w:b w:val="0"/>
          <w:bCs w:val="0"/>
          <w:color w:val="auto"/>
          <w:kern w:val="2"/>
          <w:sz w:val="24"/>
          <w:szCs w:val="24"/>
          <w:lang w:val="zh-CN" w:eastAsia="zh-CN" w:bidi="ar-SA"/>
        </w:rPr>
        <w:t>文档清单</w:t>
      </w:r>
      <w:r>
        <w:rPr>
          <w:rFonts w:hint="eastAsia" w:ascii="宋体" w:hAnsi="宋体" w:eastAsia="宋体" w:cs="宋体"/>
          <w:b w:val="0"/>
          <w:bCs w:val="0"/>
          <w:color w:val="auto"/>
          <w:kern w:val="2"/>
          <w:sz w:val="24"/>
          <w:szCs w:val="24"/>
          <w:lang w:val="en-US" w:eastAsia="zh-CN" w:bidi="ar-SA"/>
        </w:rPr>
        <w:t>：</w:t>
      </w:r>
    </w:p>
    <w:tbl>
      <w:tblPr>
        <w:tblStyle w:val="22"/>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724"/>
        <w:gridCol w:w="5225"/>
        <w:gridCol w:w="1493"/>
        <w:gridCol w:w="1493"/>
      </w:tblGrid>
      <w:tr w14:paraId="48AF37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8" w:type="pct"/>
            <w:shd w:val="clear" w:color="auto" w:fill="FFFFFF"/>
            <w:vAlign w:val="center"/>
          </w:tcPr>
          <w:p w14:paraId="304DE8C7">
            <w:pPr>
              <w:spacing w:before="156" w:line="240" w:lineRule="auto"/>
              <w:ind w:firstLine="22"/>
              <w:jc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报告名称</w:t>
            </w:r>
          </w:p>
        </w:tc>
        <w:tc>
          <w:tcPr>
            <w:tcW w:w="2629" w:type="pct"/>
            <w:shd w:val="clear" w:color="auto" w:fill="FFFFFF"/>
          </w:tcPr>
          <w:p w14:paraId="177F89F5">
            <w:pPr>
              <w:spacing w:before="156" w:line="240" w:lineRule="auto"/>
              <w:ind w:firstLine="482"/>
              <w:jc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内容描述</w:t>
            </w:r>
          </w:p>
        </w:tc>
        <w:tc>
          <w:tcPr>
            <w:tcW w:w="751" w:type="pct"/>
            <w:shd w:val="clear" w:color="auto" w:fill="FFFFFF"/>
            <w:vAlign w:val="center"/>
          </w:tcPr>
          <w:p w14:paraId="6780EDF3">
            <w:pPr>
              <w:spacing w:before="156" w:line="240" w:lineRule="auto"/>
              <w:ind w:firstLine="2"/>
              <w:jc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交付时间</w:t>
            </w:r>
          </w:p>
        </w:tc>
        <w:tc>
          <w:tcPr>
            <w:tcW w:w="751" w:type="pct"/>
            <w:shd w:val="clear" w:color="auto" w:fill="FFFFFF"/>
            <w:vAlign w:val="center"/>
          </w:tcPr>
          <w:p w14:paraId="2262915B">
            <w:pPr>
              <w:spacing w:before="156" w:line="240" w:lineRule="auto"/>
              <w:ind w:firstLine="2"/>
              <w:jc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交付频次</w:t>
            </w:r>
          </w:p>
        </w:tc>
      </w:tr>
      <w:tr w14:paraId="7176F8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8" w:type="pct"/>
            <w:vAlign w:val="center"/>
          </w:tcPr>
          <w:p w14:paraId="2778BE44">
            <w:pPr>
              <w:spacing w:before="156" w:line="240" w:lineRule="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《客户服务计划》</w:t>
            </w:r>
          </w:p>
        </w:tc>
        <w:tc>
          <w:tcPr>
            <w:tcW w:w="2629" w:type="pct"/>
          </w:tcPr>
          <w:p w14:paraId="41044A5F">
            <w:pPr>
              <w:spacing w:before="156" w:line="240" w:lineRule="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制定年度客户支持服务计划内容，并制作维护系统相关的文档，以保证支持服务与目标一致。</w:t>
            </w:r>
          </w:p>
        </w:tc>
        <w:tc>
          <w:tcPr>
            <w:tcW w:w="751" w:type="pct"/>
            <w:vAlign w:val="center"/>
          </w:tcPr>
          <w:p w14:paraId="434821DB">
            <w:pPr>
              <w:spacing w:before="156" w:line="240" w:lineRule="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服务开始一周内</w:t>
            </w:r>
          </w:p>
        </w:tc>
        <w:tc>
          <w:tcPr>
            <w:tcW w:w="751" w:type="pct"/>
            <w:vAlign w:val="center"/>
          </w:tcPr>
          <w:p w14:paraId="3F5FBFCF">
            <w:pPr>
              <w:spacing w:before="156" w:line="240" w:lineRule="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每年交付一次，共一次</w:t>
            </w:r>
          </w:p>
        </w:tc>
      </w:tr>
      <w:tr w14:paraId="58B49F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8" w:type="pct"/>
            <w:vMerge w:val="restart"/>
            <w:vAlign w:val="center"/>
          </w:tcPr>
          <w:p w14:paraId="161C921B">
            <w:pPr>
              <w:spacing w:before="156" w:line="240" w:lineRule="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《核心设备巡检报告》</w:t>
            </w:r>
          </w:p>
        </w:tc>
        <w:tc>
          <w:tcPr>
            <w:tcW w:w="2629" w:type="pct"/>
          </w:tcPr>
          <w:p w14:paraId="4D79F355">
            <w:pPr>
              <w:spacing w:before="156" w:line="240" w:lineRule="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《红外热成像巡检服务报告》</w:t>
            </w:r>
          </w:p>
        </w:tc>
        <w:tc>
          <w:tcPr>
            <w:tcW w:w="751" w:type="pct"/>
            <w:vAlign w:val="center"/>
          </w:tcPr>
          <w:p w14:paraId="66F90417">
            <w:pPr>
              <w:spacing w:before="156" w:line="240" w:lineRule="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每季度完成5个工作日</w:t>
            </w:r>
          </w:p>
        </w:tc>
        <w:tc>
          <w:tcPr>
            <w:tcW w:w="751" w:type="pct"/>
            <w:vAlign w:val="center"/>
          </w:tcPr>
          <w:p w14:paraId="349FFB47">
            <w:pPr>
              <w:spacing w:before="156" w:line="240" w:lineRule="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每季度交付一次，共四次</w:t>
            </w:r>
          </w:p>
        </w:tc>
      </w:tr>
      <w:tr w14:paraId="5CBA46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8" w:type="pct"/>
            <w:vMerge w:val="continue"/>
            <w:vAlign w:val="center"/>
          </w:tcPr>
          <w:p w14:paraId="296DCB5D">
            <w:pPr>
              <w:spacing w:before="156" w:line="240" w:lineRule="auto"/>
              <w:rPr>
                <w:rFonts w:hint="eastAsia" w:ascii="宋体" w:hAnsi="宋体" w:eastAsia="宋体" w:cs="宋体"/>
                <w:b w:val="0"/>
                <w:bCs w:val="0"/>
                <w:color w:val="auto"/>
                <w:kern w:val="2"/>
                <w:sz w:val="24"/>
                <w:szCs w:val="24"/>
                <w:lang w:val="en-US" w:eastAsia="zh-CN" w:bidi="ar-SA"/>
              </w:rPr>
            </w:pPr>
          </w:p>
        </w:tc>
        <w:tc>
          <w:tcPr>
            <w:tcW w:w="2629" w:type="pct"/>
          </w:tcPr>
          <w:p w14:paraId="34EBEA67">
            <w:pPr>
              <w:spacing w:before="156" w:line="240" w:lineRule="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《蓄电池组健康状态评估报告》</w:t>
            </w:r>
          </w:p>
        </w:tc>
        <w:tc>
          <w:tcPr>
            <w:tcW w:w="751" w:type="pct"/>
            <w:vAlign w:val="center"/>
          </w:tcPr>
          <w:p w14:paraId="6382E978">
            <w:pPr>
              <w:spacing w:before="156" w:line="240" w:lineRule="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半年前5个工作日</w:t>
            </w:r>
          </w:p>
        </w:tc>
        <w:tc>
          <w:tcPr>
            <w:tcW w:w="751" w:type="pct"/>
            <w:vAlign w:val="center"/>
          </w:tcPr>
          <w:p w14:paraId="0A1BEE3A">
            <w:pPr>
              <w:spacing w:before="156" w:line="240" w:lineRule="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每半年交付一次，共两次</w:t>
            </w:r>
          </w:p>
        </w:tc>
      </w:tr>
      <w:tr w14:paraId="3568F5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8" w:type="pct"/>
            <w:vAlign w:val="center"/>
          </w:tcPr>
          <w:p w14:paraId="5133A9E1">
            <w:pPr>
              <w:spacing w:before="156" w:line="240" w:lineRule="auto"/>
              <w:ind w:firstLine="22"/>
              <w:jc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《现场服务报告》</w:t>
            </w:r>
          </w:p>
        </w:tc>
        <w:tc>
          <w:tcPr>
            <w:tcW w:w="2629" w:type="pct"/>
          </w:tcPr>
          <w:p w14:paraId="5CF0C0CF">
            <w:pPr>
              <w:spacing w:before="156" w:line="240" w:lineRule="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每次现场支持服务响应时须形成现场工作的服务详细记录，并递交用户确认后服务完成。</w:t>
            </w:r>
          </w:p>
        </w:tc>
        <w:tc>
          <w:tcPr>
            <w:tcW w:w="751" w:type="pct"/>
            <w:vAlign w:val="center"/>
          </w:tcPr>
          <w:p w14:paraId="6D760157">
            <w:pPr>
              <w:spacing w:before="156" w:line="240" w:lineRule="auto"/>
              <w:ind w:firstLine="2"/>
              <w:jc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服务完成后3个工作日内</w:t>
            </w:r>
          </w:p>
        </w:tc>
        <w:tc>
          <w:tcPr>
            <w:tcW w:w="751" w:type="pct"/>
            <w:vAlign w:val="center"/>
          </w:tcPr>
          <w:p w14:paraId="473EED1C">
            <w:pPr>
              <w:spacing w:before="156" w:line="240" w:lineRule="auto"/>
              <w:ind w:firstLine="2"/>
              <w:jc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根据实际维护情况交付</w:t>
            </w:r>
          </w:p>
        </w:tc>
      </w:tr>
      <w:tr w14:paraId="71A32A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8" w:type="pct"/>
            <w:vAlign w:val="center"/>
          </w:tcPr>
          <w:p w14:paraId="4C6A46B3">
            <w:pPr>
              <w:spacing w:before="156" w:line="240" w:lineRule="auto"/>
              <w:ind w:firstLine="22"/>
              <w:jc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《系统档案资料》</w:t>
            </w:r>
          </w:p>
        </w:tc>
        <w:tc>
          <w:tcPr>
            <w:tcW w:w="2629" w:type="pct"/>
          </w:tcPr>
          <w:p w14:paraId="4ED8001C">
            <w:pPr>
              <w:spacing w:before="156" w:line="240" w:lineRule="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设备台账服务工具，工具需包含机房位置、设备编码、机柜号/U位、设备类型、名称、状态、品牌型号、SN码、启用日期、重点巡检标识、保修状态。关联设备的运维数据，包括历史巡检记录、维修工单、服务报告等，并可根据设备状态自动触发巡检提醒或保修预警。同步关联知识库对应模块，方便后续更新完善。</w:t>
            </w:r>
          </w:p>
        </w:tc>
        <w:tc>
          <w:tcPr>
            <w:tcW w:w="751" w:type="pct"/>
            <w:vAlign w:val="center"/>
          </w:tcPr>
          <w:p w14:paraId="4A31F210">
            <w:pPr>
              <w:spacing w:before="156" w:line="240" w:lineRule="auto"/>
              <w:ind w:firstLine="2"/>
              <w:jc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服务完成后3个工作日内</w:t>
            </w:r>
          </w:p>
        </w:tc>
        <w:tc>
          <w:tcPr>
            <w:tcW w:w="751" w:type="pct"/>
            <w:vAlign w:val="center"/>
          </w:tcPr>
          <w:p w14:paraId="2376520B">
            <w:pPr>
              <w:spacing w:before="156" w:line="240" w:lineRule="auto"/>
              <w:ind w:firstLine="2"/>
              <w:jc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根据实际维护情况交付</w:t>
            </w:r>
          </w:p>
        </w:tc>
      </w:tr>
      <w:tr w14:paraId="2C465E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1" w:hRule="atLeast"/>
        </w:trPr>
        <w:tc>
          <w:tcPr>
            <w:tcW w:w="868" w:type="pct"/>
            <w:vAlign w:val="center"/>
          </w:tcPr>
          <w:p w14:paraId="6657043C">
            <w:pPr>
              <w:spacing w:before="156" w:line="240" w:lineRule="auto"/>
              <w:ind w:firstLine="22"/>
              <w:jc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《年度服务总结报告》</w:t>
            </w:r>
          </w:p>
        </w:tc>
        <w:tc>
          <w:tcPr>
            <w:tcW w:w="2629" w:type="pct"/>
          </w:tcPr>
          <w:p w14:paraId="26CD9CCD">
            <w:pPr>
              <w:spacing w:before="156" w:line="240" w:lineRule="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在服务年度结束后5个工作日内向客户提供该服务年度内历次维护报告、记录进行技术服务响应汇总报告。</w:t>
            </w:r>
          </w:p>
        </w:tc>
        <w:tc>
          <w:tcPr>
            <w:tcW w:w="751" w:type="pct"/>
            <w:vAlign w:val="center"/>
          </w:tcPr>
          <w:p w14:paraId="151B075E">
            <w:pPr>
              <w:spacing w:before="156" w:line="240" w:lineRule="auto"/>
              <w:ind w:firstLine="2"/>
              <w:jc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服务完成后3个工作日内</w:t>
            </w:r>
          </w:p>
        </w:tc>
        <w:tc>
          <w:tcPr>
            <w:tcW w:w="751" w:type="pct"/>
            <w:vAlign w:val="center"/>
          </w:tcPr>
          <w:p w14:paraId="697310A0">
            <w:pPr>
              <w:spacing w:before="156" w:line="240" w:lineRule="auto"/>
              <w:ind w:firstLine="2"/>
              <w:jc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每年交付一次，共一次</w:t>
            </w:r>
          </w:p>
        </w:tc>
      </w:tr>
    </w:tbl>
    <w:p w14:paraId="2BC57DAE">
      <w:pPr>
        <w:tabs>
          <w:tab w:val="left" w:pos="0"/>
        </w:tabs>
        <w:adjustRightInd w:val="0"/>
        <w:spacing w:line="500" w:lineRule="exact"/>
        <w:ind w:firstLine="600" w:firstLineChars="200"/>
        <w:rPr>
          <w:rFonts w:hint="eastAsia" w:ascii="宋体" w:hAnsi="宋体" w:eastAsia="宋体" w:cs="宋体"/>
          <w:b/>
          <w:sz w:val="30"/>
          <w:szCs w:val="30"/>
          <w:u w:val="none"/>
        </w:rPr>
      </w:pPr>
    </w:p>
    <w:p w14:paraId="4D103839">
      <w:pPr>
        <w:tabs>
          <w:tab w:val="left" w:pos="0"/>
        </w:tabs>
        <w:adjustRightInd w:val="0"/>
        <w:spacing w:line="360" w:lineRule="auto"/>
        <w:ind w:firstLine="600" w:firstLineChars="200"/>
        <w:rPr>
          <w:rFonts w:hint="eastAsia" w:ascii="宋体" w:hAnsi="宋体" w:eastAsia="宋体" w:cs="宋体"/>
          <w:b/>
          <w:sz w:val="24"/>
          <w:u w:val="none"/>
        </w:rPr>
      </w:pPr>
      <w:r>
        <w:rPr>
          <w:rFonts w:hint="eastAsia" w:ascii="宋体" w:hAnsi="宋体" w:eastAsia="宋体" w:cs="宋体"/>
          <w:b/>
          <w:sz w:val="30"/>
          <w:szCs w:val="30"/>
          <w:u w:val="none"/>
        </w:rPr>
        <w:t>三、商务要求</w:t>
      </w:r>
      <w:r>
        <w:rPr>
          <w:rFonts w:hint="eastAsia" w:ascii="宋体" w:hAnsi="宋体" w:eastAsia="宋体" w:cs="宋体"/>
          <w:b/>
          <w:sz w:val="24"/>
          <w:u w:val="none"/>
        </w:rPr>
        <w:t>：</w:t>
      </w:r>
    </w:p>
    <w:p w14:paraId="64596F67">
      <w:pPr>
        <w:pStyle w:val="5"/>
        <w:spacing w:line="360" w:lineRule="auto"/>
        <w:rPr>
          <w:rFonts w:hint="eastAsia" w:ascii="宋体" w:hAnsi="宋体" w:eastAsia="宋体" w:cs="宋体"/>
          <w:sz w:val="24"/>
          <w:szCs w:val="24"/>
          <w:u w:val="none"/>
          <w:lang w:eastAsia="zh-CN"/>
        </w:rPr>
      </w:pPr>
      <w:r>
        <w:rPr>
          <w:rFonts w:hint="eastAsia" w:ascii="宋体" w:hAnsi="宋体" w:eastAsia="宋体" w:cs="宋体"/>
          <w:b/>
          <w:bCs/>
          <w:sz w:val="24"/>
          <w:szCs w:val="24"/>
          <w:u w:val="none"/>
        </w:rPr>
        <w:t>1、交货日期：</w:t>
      </w:r>
      <w:r>
        <w:rPr>
          <w:rFonts w:hint="eastAsia" w:ascii="宋体" w:hAnsi="宋体" w:eastAsia="宋体" w:cs="宋体"/>
          <w:b w:val="0"/>
          <w:bCs w:val="0"/>
          <w:sz w:val="24"/>
          <w:szCs w:val="24"/>
          <w:u w:val="none"/>
        </w:rPr>
        <w:t>合同签订后60天完成数据中心机房设备故障整改</w:t>
      </w:r>
      <w:r>
        <w:rPr>
          <w:rFonts w:hint="eastAsia" w:ascii="宋体" w:hAnsi="宋体" w:eastAsia="宋体" w:cs="宋体"/>
          <w:b w:val="0"/>
          <w:bCs w:val="0"/>
          <w:sz w:val="24"/>
          <w:szCs w:val="24"/>
          <w:u w:val="none"/>
          <w:lang w:eastAsia="zh-CN"/>
        </w:rPr>
        <w:t>。</w:t>
      </w:r>
    </w:p>
    <w:p w14:paraId="496AF282">
      <w:pPr>
        <w:pStyle w:val="5"/>
        <w:spacing w:line="360" w:lineRule="auto"/>
        <w:rPr>
          <w:rFonts w:hint="eastAsia" w:ascii="宋体" w:hAnsi="宋体" w:eastAsia="宋体" w:cs="宋体"/>
          <w:sz w:val="24"/>
          <w:szCs w:val="24"/>
          <w:u w:val="none"/>
        </w:rPr>
      </w:pPr>
      <w:r>
        <w:rPr>
          <w:rFonts w:hint="eastAsia" w:ascii="宋体" w:hAnsi="宋体" w:eastAsia="宋体" w:cs="宋体"/>
          <w:b/>
          <w:bCs/>
          <w:sz w:val="24"/>
          <w:szCs w:val="24"/>
          <w:u w:val="none"/>
        </w:rPr>
        <w:t>2、交货地点：</w:t>
      </w:r>
      <w:r>
        <w:rPr>
          <w:rFonts w:hint="eastAsia" w:ascii="宋体" w:hAnsi="宋体" w:eastAsia="宋体" w:cs="宋体"/>
          <w:sz w:val="24"/>
          <w:szCs w:val="24"/>
          <w:u w:val="none"/>
        </w:rPr>
        <w:t>福州职业技术学院</w:t>
      </w:r>
    </w:p>
    <w:p w14:paraId="3BCA5315">
      <w:pPr>
        <w:pStyle w:val="97"/>
        <w:spacing w:line="360" w:lineRule="auto"/>
        <w:ind w:firstLine="420" w:firstLineChars="175"/>
        <w:rPr>
          <w:rFonts w:hint="eastAsia" w:ascii="宋体" w:hAnsi="宋体" w:eastAsia="宋体" w:cs="宋体"/>
          <w:b w:val="0"/>
          <w:bCs w:val="0"/>
          <w:sz w:val="24"/>
          <w:szCs w:val="24"/>
          <w:u w:val="none"/>
        </w:rPr>
      </w:pPr>
      <w:r>
        <w:rPr>
          <w:rFonts w:hint="eastAsia" w:ascii="宋体" w:hAnsi="宋体" w:eastAsia="宋体" w:cs="宋体"/>
          <w:b/>
          <w:bCs/>
          <w:sz w:val="24"/>
          <w:szCs w:val="24"/>
          <w:u w:val="none"/>
        </w:rPr>
        <w:t>3、支付方式</w:t>
      </w:r>
      <w:r>
        <w:rPr>
          <w:rFonts w:hint="eastAsia" w:ascii="宋体" w:hAnsi="宋体" w:eastAsia="宋体" w:cs="宋体"/>
          <w:b w:val="0"/>
          <w:bCs w:val="0"/>
          <w:sz w:val="24"/>
          <w:szCs w:val="24"/>
          <w:u w:val="none"/>
        </w:rPr>
        <w:t>：</w:t>
      </w:r>
      <w:bookmarkStart w:id="27" w:name="_Toc12695"/>
      <w:bookmarkStart w:id="28" w:name="_Toc97708365"/>
    </w:p>
    <w:p w14:paraId="4F8D17A2">
      <w:pPr>
        <w:pStyle w:val="97"/>
        <w:spacing w:line="360" w:lineRule="auto"/>
        <w:ind w:firstLine="420" w:firstLineChars="175"/>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3.1、成交人按照合同规定的服务内容及相关要求完成基础环境运维服务后，经第一次阶段验收合格且采购人收到成交人开具相应金额的正规含税发票（若成交人未按合同约定向采购人开具相应金额的正规含税发票，采购人有权拒绝付款，并不承担违约责任），达到付款条件起30日内，支付合同总金额的90.00%</w:t>
      </w:r>
    </w:p>
    <w:p w14:paraId="3F4FBFAA">
      <w:pPr>
        <w:pStyle w:val="97"/>
        <w:spacing w:line="360" w:lineRule="auto"/>
        <w:ind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3.2、一年的运维服务结束后，进行第二阶段验收，第二阶段验收合格且采购人收到成交人开具相应金额的正规含税发票（若成交人未按合同约定向采购人开具相应正规含税发票的，采购人有权拒绝付款，并不承担违约责任），达到付款条件起30日内，支付合同总金额的10.00%。</w:t>
      </w:r>
    </w:p>
    <w:p w14:paraId="739107C0">
      <w:pPr>
        <w:tabs>
          <w:tab w:val="left" w:pos="0"/>
        </w:tabs>
        <w:adjustRightInd w:val="0"/>
        <w:spacing w:line="360" w:lineRule="auto"/>
        <w:ind w:firstLine="480" w:firstLineChars="200"/>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rPr>
        <w:t>4.包装和运输：</w:t>
      </w:r>
      <w:r>
        <w:rPr>
          <w:rFonts w:hint="eastAsia" w:ascii="宋体" w:hAnsi="宋体" w:eastAsia="宋体" w:cs="宋体"/>
          <w:color w:val="auto"/>
          <w:sz w:val="24"/>
          <w:szCs w:val="24"/>
          <w:highlight w:val="none"/>
          <w:lang w:val="en-US" w:eastAsia="zh-CN"/>
        </w:rPr>
        <w:t>报价含包装及运输费用。</w:t>
      </w:r>
    </w:p>
    <w:p w14:paraId="642E7A43">
      <w:pPr>
        <w:tabs>
          <w:tab w:val="left" w:pos="0"/>
        </w:tabs>
        <w:adjustRightIn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5.质保期：</w:t>
      </w:r>
      <w:r>
        <w:rPr>
          <w:rFonts w:hint="eastAsia" w:ascii="宋体" w:hAnsi="宋体" w:eastAsia="宋体" w:cs="宋体"/>
          <w:color w:val="auto"/>
          <w:sz w:val="24"/>
          <w:szCs w:val="24"/>
          <w:highlight w:val="none"/>
        </w:rPr>
        <w:t>免费保修期为</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设备故障整改</w:t>
      </w:r>
      <w:r>
        <w:rPr>
          <w:rFonts w:hint="eastAsia" w:ascii="宋体" w:hAnsi="宋体" w:eastAsia="宋体" w:cs="宋体"/>
          <w:color w:val="auto"/>
          <w:sz w:val="24"/>
          <w:szCs w:val="24"/>
          <w:highlight w:val="none"/>
        </w:rPr>
        <w:t>验收合格之日起算）</w:t>
      </w:r>
    </w:p>
    <w:p w14:paraId="222902A1">
      <w:pPr>
        <w:tabs>
          <w:tab w:val="left" w:pos="900"/>
          <w:tab w:val="left" w:pos="1100"/>
        </w:tabs>
        <w:spacing w:line="360" w:lineRule="auto"/>
        <w:ind w:firstLine="470" w:firstLineChars="196"/>
        <w:rPr>
          <w:rFonts w:hint="eastAsia" w:ascii="宋体" w:hAnsi="宋体" w:eastAsia="宋体" w:cs="宋体"/>
          <w:color w:val="auto"/>
          <w:sz w:val="24"/>
          <w:szCs w:val="24"/>
          <w:highlight w:val="none"/>
          <w:lang w:val="en-US" w:eastAsia="zh-CN"/>
        </w:rPr>
      </w:pPr>
      <w:r>
        <w:rPr>
          <w:rFonts w:hint="eastAsia" w:ascii="宋体" w:hAnsi="宋体" w:eastAsia="宋体" w:cs="宋体"/>
          <w:b/>
          <w:color w:val="auto"/>
          <w:sz w:val="24"/>
          <w:szCs w:val="24"/>
          <w:highlight w:val="none"/>
        </w:rPr>
        <w:t>6.售后服务：</w:t>
      </w:r>
      <w:r>
        <w:rPr>
          <w:rFonts w:hint="eastAsia" w:ascii="宋体" w:hAnsi="宋体" w:eastAsia="宋体" w:cs="宋体"/>
          <w:color w:val="auto"/>
          <w:sz w:val="24"/>
          <w:szCs w:val="24"/>
          <w:highlight w:val="none"/>
          <w:lang w:eastAsia="zh-CN"/>
        </w:rPr>
        <w:t>成交人</w:t>
      </w:r>
      <w:r>
        <w:rPr>
          <w:rFonts w:hint="eastAsia" w:ascii="宋体" w:hAnsi="宋体" w:eastAsia="宋体" w:cs="宋体"/>
          <w:color w:val="auto"/>
          <w:sz w:val="24"/>
          <w:szCs w:val="24"/>
          <w:highlight w:val="none"/>
        </w:rPr>
        <w:t>在质保期内接到故障通知后4小时内响应，并在12小时内到达现场，免费负责修理或更换有缺陷的零部件或整机。质保期外</w:t>
      </w:r>
      <w:r>
        <w:rPr>
          <w:rFonts w:hint="eastAsia" w:ascii="宋体" w:hAnsi="宋体" w:eastAsia="宋体" w:cs="宋体"/>
          <w:color w:val="auto"/>
          <w:sz w:val="24"/>
          <w:szCs w:val="24"/>
          <w:highlight w:val="none"/>
          <w:lang w:val="en-US" w:eastAsia="zh-CN"/>
        </w:rPr>
        <w:t>提供技术咨询服务保障。</w:t>
      </w:r>
    </w:p>
    <w:p w14:paraId="35161AA2">
      <w:pPr>
        <w:tabs>
          <w:tab w:val="left" w:pos="900"/>
          <w:tab w:val="left" w:pos="1100"/>
        </w:tabs>
        <w:spacing w:line="360" w:lineRule="auto"/>
        <w:ind w:firstLine="470" w:firstLineChars="196"/>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7</w:t>
      </w:r>
      <w:r>
        <w:rPr>
          <w:rFonts w:hint="eastAsia" w:ascii="宋体" w:hAnsi="宋体" w:eastAsia="宋体" w:cs="宋体"/>
          <w:b/>
          <w:color w:val="auto"/>
          <w:sz w:val="24"/>
          <w:szCs w:val="24"/>
        </w:rPr>
        <w:t>、验收要求：</w:t>
      </w:r>
    </w:p>
    <w:p w14:paraId="4919AD82">
      <w:pPr>
        <w:pStyle w:val="18"/>
        <w:wordWrap w:val="0"/>
        <w:spacing w:before="20" w:beforeAutospacing="0" w:after="20" w:afterAutospacing="0" w:line="360" w:lineRule="auto"/>
        <w:ind w:left="376" w:right="376" w:firstLine="420"/>
        <w:jc w:val="both"/>
        <w:rPr>
          <w:rFonts w:hint="eastAsia" w:ascii="宋体" w:hAnsi="宋体" w:eastAsia="宋体" w:cs="宋体"/>
          <w:color w:val="auto"/>
          <w:sz w:val="24"/>
          <w:szCs w:val="24"/>
        </w:rPr>
      </w:pPr>
      <w:r>
        <w:rPr>
          <w:rFonts w:hint="eastAsia" w:ascii="宋体" w:hAnsi="宋体" w:eastAsia="宋体" w:cs="宋体"/>
          <w:color w:val="auto"/>
          <w:sz w:val="24"/>
          <w:szCs w:val="24"/>
          <w:shd w:val="clear" w:color="auto" w:fill="FFFFFF"/>
        </w:rPr>
        <w:t>采购人按照</w:t>
      </w:r>
      <w:r>
        <w:rPr>
          <w:rFonts w:hint="eastAsia" w:ascii="宋体" w:hAnsi="宋体" w:eastAsia="宋体" w:cs="宋体"/>
          <w:color w:val="auto"/>
          <w:sz w:val="24"/>
          <w:szCs w:val="24"/>
          <w:shd w:val="clear" w:color="auto" w:fill="FFFFFF"/>
          <w:lang w:val="en-US" w:eastAsia="zh-CN"/>
        </w:rPr>
        <w:t>合同</w:t>
      </w:r>
      <w:r>
        <w:rPr>
          <w:rFonts w:hint="eastAsia" w:ascii="宋体" w:hAnsi="宋体" w:eastAsia="宋体" w:cs="宋体"/>
          <w:color w:val="auto"/>
          <w:sz w:val="24"/>
          <w:szCs w:val="24"/>
          <w:shd w:val="clear" w:color="auto" w:fill="FFFFFF"/>
        </w:rPr>
        <w:t>约定的服务内容及质量要求组织对</w:t>
      </w:r>
      <w:r>
        <w:rPr>
          <w:rFonts w:hint="eastAsia" w:ascii="宋体" w:hAnsi="宋体" w:eastAsia="宋体" w:cs="宋体"/>
          <w:color w:val="auto"/>
          <w:sz w:val="24"/>
          <w:szCs w:val="24"/>
          <w:shd w:val="clear" w:color="auto" w:fill="FFFFFF"/>
          <w:lang w:eastAsia="zh-CN"/>
        </w:rPr>
        <w:t>成交人</w:t>
      </w:r>
      <w:r>
        <w:rPr>
          <w:rFonts w:hint="eastAsia" w:ascii="宋体" w:hAnsi="宋体" w:eastAsia="宋体" w:cs="宋体"/>
          <w:color w:val="auto"/>
          <w:sz w:val="24"/>
          <w:szCs w:val="24"/>
          <w:shd w:val="clear" w:color="auto" w:fill="FFFFFF"/>
        </w:rPr>
        <w:t>所提供服务进行验收，并根据验收或考核结果支付服务费用。具体如下：</w:t>
      </w:r>
    </w:p>
    <w:p w14:paraId="7003A1F7">
      <w:pPr>
        <w:widowControl/>
        <w:spacing w:before="75" w:after="75" w:line="360" w:lineRule="auto"/>
        <w:ind w:firstLine="480"/>
        <w:jc w:val="both"/>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第一阶段</w:t>
      </w:r>
      <w:r>
        <w:rPr>
          <w:rFonts w:hint="eastAsia" w:ascii="宋体" w:hAnsi="宋体" w:eastAsia="宋体" w:cs="宋体"/>
          <w:color w:val="auto"/>
          <w:kern w:val="0"/>
          <w:sz w:val="24"/>
          <w:szCs w:val="24"/>
          <w:lang w:eastAsia="zh-CN"/>
        </w:rPr>
        <w:t>验收：完成机房现有</w:t>
      </w:r>
      <w:r>
        <w:rPr>
          <w:rFonts w:hint="eastAsia" w:ascii="宋体" w:hAnsi="宋体" w:eastAsia="宋体" w:cs="宋体"/>
          <w:color w:val="auto"/>
          <w:kern w:val="0"/>
          <w:sz w:val="24"/>
          <w:szCs w:val="24"/>
          <w:lang w:val="zh-CN" w:eastAsia="zh-CN"/>
        </w:rPr>
        <w:t>设备故障的整改及维修</w:t>
      </w:r>
      <w:r>
        <w:rPr>
          <w:rFonts w:hint="eastAsia" w:ascii="宋体" w:hAnsi="宋体" w:eastAsia="宋体" w:cs="宋体"/>
          <w:color w:val="auto"/>
          <w:kern w:val="0"/>
          <w:sz w:val="24"/>
          <w:szCs w:val="24"/>
          <w:lang w:eastAsia="zh-CN"/>
        </w:rPr>
        <w:t>后，向采购人提交</w:t>
      </w:r>
      <w:r>
        <w:rPr>
          <w:rFonts w:hint="eastAsia" w:ascii="宋体" w:hAnsi="宋体" w:eastAsia="宋体" w:cs="宋体"/>
          <w:color w:val="auto"/>
          <w:kern w:val="0"/>
          <w:sz w:val="24"/>
          <w:szCs w:val="24"/>
          <w:lang w:val="en-US" w:eastAsia="zh-CN"/>
        </w:rPr>
        <w:t>第一阶段</w:t>
      </w:r>
      <w:r>
        <w:rPr>
          <w:rFonts w:hint="eastAsia" w:ascii="宋体" w:hAnsi="宋体" w:eastAsia="宋体" w:cs="宋体"/>
          <w:color w:val="auto"/>
          <w:kern w:val="0"/>
          <w:sz w:val="24"/>
          <w:szCs w:val="24"/>
          <w:lang w:eastAsia="zh-CN"/>
        </w:rPr>
        <w:t>验收申请，采购人在收到验收申请后10个工作日内组织成交人进行</w:t>
      </w:r>
      <w:r>
        <w:rPr>
          <w:rFonts w:hint="eastAsia" w:ascii="宋体" w:hAnsi="宋体" w:eastAsia="宋体" w:cs="宋体"/>
          <w:color w:val="auto"/>
          <w:kern w:val="0"/>
          <w:sz w:val="24"/>
          <w:szCs w:val="24"/>
          <w:lang w:val="en-US" w:eastAsia="zh-CN"/>
        </w:rPr>
        <w:t>第一阶段</w:t>
      </w:r>
      <w:r>
        <w:rPr>
          <w:rFonts w:hint="eastAsia" w:ascii="宋体" w:hAnsi="宋体" w:eastAsia="宋体" w:cs="宋体"/>
          <w:color w:val="auto"/>
          <w:kern w:val="0"/>
          <w:sz w:val="24"/>
          <w:szCs w:val="24"/>
          <w:lang w:eastAsia="zh-CN"/>
        </w:rPr>
        <w:t>验收，</w:t>
      </w:r>
      <w:r>
        <w:rPr>
          <w:rFonts w:hint="eastAsia" w:ascii="宋体" w:hAnsi="宋体" w:eastAsia="宋体" w:cs="宋体"/>
          <w:color w:val="auto"/>
          <w:kern w:val="0"/>
          <w:sz w:val="24"/>
          <w:szCs w:val="24"/>
          <w:lang w:val="en-US" w:eastAsia="zh-CN"/>
        </w:rPr>
        <w:t>第一阶段</w:t>
      </w:r>
      <w:r>
        <w:rPr>
          <w:rFonts w:hint="eastAsia" w:ascii="宋体" w:hAnsi="宋体" w:eastAsia="宋体" w:cs="宋体"/>
          <w:color w:val="auto"/>
          <w:kern w:val="0"/>
          <w:sz w:val="24"/>
          <w:szCs w:val="24"/>
          <w:lang w:eastAsia="zh-CN"/>
        </w:rPr>
        <w:t>验收产生的一切费用均由成交人承担。成交人提供的项目服务经采购人验收合格后，成交人及采购人应当在验收报告上签字。</w:t>
      </w:r>
    </w:p>
    <w:p w14:paraId="2CA73DB2">
      <w:pPr>
        <w:widowControl/>
        <w:spacing w:before="75" w:after="75" w:line="360" w:lineRule="auto"/>
        <w:ind w:firstLine="480"/>
        <w:jc w:val="both"/>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eastAsia="zh-CN"/>
        </w:rPr>
        <w:t>如果成交人提供服务质量不合格或交付时间截止但有部分内容尚未完成的，视为违约，由此造成的一切费用均由成交人承担。若因项目需要，成交人应无条件根据采购人的意见对服务内容进行修改，若因此超出本合同约定的交付时间的，不构成成交人违约。</w:t>
      </w:r>
    </w:p>
    <w:p w14:paraId="07611D5D">
      <w:pPr>
        <w:widowControl/>
        <w:spacing w:before="75" w:after="75" w:line="360" w:lineRule="auto"/>
        <w:ind w:firstLine="480"/>
        <w:jc w:val="both"/>
        <w:rPr>
          <w:rFonts w:hint="eastAsia" w:ascii="宋体" w:hAnsi="宋体" w:eastAsia="宋体" w:cs="宋体"/>
          <w:b/>
          <w:color w:val="auto"/>
          <w:sz w:val="24"/>
          <w:szCs w:val="24"/>
        </w:rPr>
      </w:pPr>
      <w:r>
        <w:rPr>
          <w:rFonts w:hint="eastAsia" w:ascii="宋体" w:hAnsi="宋体" w:eastAsia="宋体" w:cs="宋体"/>
          <w:color w:val="auto"/>
          <w:kern w:val="0"/>
          <w:sz w:val="24"/>
          <w:szCs w:val="24"/>
          <w:lang w:val="en-US" w:eastAsia="zh-CN"/>
        </w:rPr>
        <w:t>第二阶段</w:t>
      </w:r>
      <w:r>
        <w:rPr>
          <w:rFonts w:hint="eastAsia" w:ascii="宋体" w:hAnsi="宋体" w:eastAsia="宋体" w:cs="宋体"/>
          <w:color w:val="auto"/>
          <w:kern w:val="0"/>
          <w:sz w:val="24"/>
          <w:szCs w:val="24"/>
          <w:lang w:eastAsia="zh-CN"/>
        </w:rPr>
        <w:t>验收：成交人完成1年的运维服务，服务期间未出现重大安全事件。服务期满后，成交人向采购人提交</w:t>
      </w:r>
      <w:r>
        <w:rPr>
          <w:rFonts w:hint="eastAsia" w:ascii="宋体" w:hAnsi="宋体" w:eastAsia="宋体" w:cs="宋体"/>
          <w:color w:val="auto"/>
          <w:kern w:val="0"/>
          <w:sz w:val="24"/>
          <w:szCs w:val="24"/>
          <w:lang w:val="en-US" w:eastAsia="zh-CN"/>
        </w:rPr>
        <w:t>第二阶段</w:t>
      </w:r>
      <w:r>
        <w:rPr>
          <w:rFonts w:hint="eastAsia" w:ascii="宋体" w:hAnsi="宋体" w:eastAsia="宋体" w:cs="宋体"/>
          <w:color w:val="auto"/>
          <w:kern w:val="0"/>
          <w:sz w:val="24"/>
          <w:szCs w:val="24"/>
          <w:lang w:eastAsia="zh-CN"/>
        </w:rPr>
        <w:t>验收申请，采购人在收到验收申请后10个工作日内组织成交人进行</w:t>
      </w:r>
      <w:r>
        <w:rPr>
          <w:rFonts w:hint="eastAsia" w:ascii="宋体" w:hAnsi="宋体" w:eastAsia="宋体" w:cs="宋体"/>
          <w:color w:val="auto"/>
          <w:kern w:val="0"/>
          <w:sz w:val="24"/>
          <w:szCs w:val="24"/>
          <w:lang w:val="en-US" w:eastAsia="zh-CN"/>
        </w:rPr>
        <w:t>第二阶段</w:t>
      </w:r>
      <w:r>
        <w:rPr>
          <w:rFonts w:hint="eastAsia" w:ascii="宋体" w:hAnsi="宋体" w:eastAsia="宋体" w:cs="宋体"/>
          <w:color w:val="auto"/>
          <w:kern w:val="0"/>
          <w:sz w:val="24"/>
          <w:szCs w:val="24"/>
          <w:lang w:eastAsia="zh-CN"/>
        </w:rPr>
        <w:t>验收，验收产生的一切费用均由成交人承担。成交人提供的项目服务经采购人</w:t>
      </w:r>
      <w:r>
        <w:rPr>
          <w:rFonts w:hint="eastAsia" w:ascii="宋体" w:hAnsi="宋体" w:eastAsia="宋体" w:cs="宋体"/>
          <w:color w:val="auto"/>
          <w:kern w:val="0"/>
          <w:sz w:val="24"/>
          <w:szCs w:val="24"/>
          <w:lang w:val="en-US" w:eastAsia="zh-CN"/>
        </w:rPr>
        <w:t>第二阶段</w:t>
      </w:r>
      <w:r>
        <w:rPr>
          <w:rFonts w:hint="eastAsia" w:ascii="宋体" w:hAnsi="宋体" w:eastAsia="宋体" w:cs="宋体"/>
          <w:color w:val="auto"/>
          <w:kern w:val="0"/>
          <w:sz w:val="24"/>
          <w:szCs w:val="24"/>
          <w:lang w:eastAsia="zh-CN"/>
        </w:rPr>
        <w:t>验收合格后，成交人及采购人应当在验收报告上签字。</w:t>
      </w:r>
    </w:p>
    <w:p w14:paraId="2AD44EC6">
      <w:pPr>
        <w:numPr>
          <w:ilvl w:val="0"/>
          <w:numId w:val="0"/>
        </w:numPr>
        <w:tabs>
          <w:tab w:val="left" w:pos="900"/>
          <w:tab w:val="left" w:pos="1100"/>
        </w:tabs>
        <w:spacing w:line="360" w:lineRule="auto"/>
        <w:ind w:firstLine="470" w:firstLineChars="196"/>
        <w:rPr>
          <w:rFonts w:hint="eastAsia" w:ascii="宋体" w:hAnsi="宋体" w:eastAsia="宋体" w:cs="宋体"/>
          <w:b/>
          <w:color w:val="auto"/>
          <w:sz w:val="24"/>
          <w:szCs w:val="24"/>
        </w:rPr>
      </w:pPr>
      <w:r>
        <w:rPr>
          <w:rFonts w:hint="eastAsia" w:ascii="宋体" w:hAnsi="宋体" w:eastAsia="宋体" w:cs="宋体"/>
          <w:b/>
          <w:color w:val="auto"/>
          <w:kern w:val="2"/>
          <w:sz w:val="24"/>
          <w:szCs w:val="24"/>
          <w:lang w:val="en-US" w:eastAsia="zh-CN" w:bidi="ar-SA"/>
        </w:rPr>
        <w:t>8、</w:t>
      </w:r>
      <w:r>
        <w:rPr>
          <w:rFonts w:hint="eastAsia" w:ascii="宋体" w:hAnsi="宋体" w:eastAsia="宋体" w:cs="宋体"/>
          <w:b/>
          <w:color w:val="auto"/>
          <w:sz w:val="24"/>
          <w:szCs w:val="24"/>
        </w:rPr>
        <w:t>检验与测试：</w:t>
      </w:r>
    </w:p>
    <w:p w14:paraId="34BE0E0F">
      <w:pPr>
        <w:pStyle w:val="18"/>
        <w:wordWrap w:val="0"/>
        <w:spacing w:before="20" w:beforeAutospacing="0" w:after="20" w:afterAutospacing="0" w:line="360" w:lineRule="auto"/>
        <w:ind w:left="0" w:right="376" w:firstLine="480" w:firstLineChars="200"/>
        <w:jc w:val="both"/>
        <w:rPr>
          <w:rFonts w:hint="eastAsia" w:ascii="宋体" w:hAnsi="宋体" w:eastAsia="宋体" w:cs="宋体"/>
          <w:color w:val="auto"/>
          <w:sz w:val="24"/>
          <w:szCs w:val="24"/>
          <w:shd w:val="clear" w:color="auto" w:fill="FFFFFF"/>
        </w:rPr>
      </w:pPr>
      <w:r>
        <w:rPr>
          <w:rFonts w:hint="eastAsia" w:ascii="宋体" w:hAnsi="宋体" w:eastAsia="宋体" w:cs="宋体"/>
          <w:color w:val="auto"/>
          <w:sz w:val="24"/>
          <w:szCs w:val="24"/>
          <w:shd w:val="clear" w:color="auto" w:fill="FFFFFF"/>
          <w:lang w:eastAsia="zh-CN"/>
        </w:rPr>
        <w:t>成交人</w:t>
      </w:r>
      <w:r>
        <w:rPr>
          <w:rFonts w:hint="eastAsia" w:ascii="宋体" w:hAnsi="宋体" w:eastAsia="宋体" w:cs="宋体"/>
          <w:color w:val="auto"/>
          <w:sz w:val="24"/>
          <w:szCs w:val="24"/>
          <w:shd w:val="clear" w:color="auto" w:fill="FFFFFF"/>
        </w:rPr>
        <w:t>完成设备安装、接线、调试后，双方共同开展连续试运行、全功能指标测试，逐项核对技术参数、响应承诺，记录测试数据。</w:t>
      </w:r>
    </w:p>
    <w:p w14:paraId="7E77AD8D">
      <w:pPr>
        <w:pStyle w:val="18"/>
        <w:wordWrap w:val="0"/>
        <w:spacing w:before="20" w:beforeAutospacing="0" w:after="20" w:afterAutospacing="0" w:line="360" w:lineRule="auto"/>
        <w:ind w:left="0" w:right="376" w:firstLine="480" w:firstLineChars="200"/>
        <w:jc w:val="both"/>
        <w:rPr>
          <w:rFonts w:hint="eastAsia" w:ascii="宋体" w:hAnsi="宋体" w:eastAsia="宋体" w:cs="宋体"/>
          <w:color w:val="auto"/>
          <w:sz w:val="24"/>
          <w:szCs w:val="24"/>
          <w:shd w:val="clear" w:color="auto" w:fill="FFFFFF"/>
        </w:rPr>
      </w:pPr>
      <w:r>
        <w:rPr>
          <w:rFonts w:hint="eastAsia" w:ascii="宋体" w:hAnsi="宋体" w:eastAsia="宋体" w:cs="宋体"/>
          <w:color w:val="auto"/>
          <w:sz w:val="24"/>
          <w:szCs w:val="24"/>
          <w:shd w:val="clear" w:color="auto" w:fill="FFFFFF"/>
        </w:rPr>
        <w:t>测试内容包含：通电稳定性、功能完整性、精度指标、运行噪音、能耗、兼容性、联动效果等全部技术要求；测试不达标</w:t>
      </w:r>
      <w:r>
        <w:rPr>
          <w:rFonts w:hint="eastAsia" w:ascii="宋体" w:hAnsi="宋体" w:eastAsia="宋体" w:cs="宋体"/>
          <w:color w:val="auto"/>
          <w:sz w:val="24"/>
          <w:szCs w:val="24"/>
          <w:shd w:val="clear" w:color="auto" w:fill="FFFFFF"/>
          <w:lang w:eastAsia="zh-CN"/>
        </w:rPr>
        <w:t>成交人</w:t>
      </w:r>
      <w:r>
        <w:rPr>
          <w:rFonts w:hint="eastAsia" w:ascii="宋体" w:hAnsi="宋体" w:eastAsia="宋体" w:cs="宋体"/>
          <w:color w:val="auto"/>
          <w:sz w:val="24"/>
          <w:szCs w:val="24"/>
          <w:shd w:val="clear" w:color="auto" w:fill="FFFFFF"/>
        </w:rPr>
        <w:t>现场整改、更换零部件直至复测合格。</w:t>
      </w:r>
    </w:p>
    <w:p w14:paraId="335C7DEF">
      <w:pPr>
        <w:pStyle w:val="18"/>
        <w:wordWrap w:val="0"/>
        <w:spacing w:before="20" w:beforeAutospacing="0" w:after="20" w:afterAutospacing="0" w:line="360" w:lineRule="auto"/>
        <w:ind w:right="376" w:firstLine="480" w:firstLineChars="200"/>
        <w:jc w:val="both"/>
        <w:rPr>
          <w:rFonts w:hint="eastAsia" w:ascii="宋体" w:hAnsi="宋体" w:eastAsia="宋体" w:cs="宋体"/>
          <w:b/>
          <w:color w:val="auto"/>
          <w:sz w:val="24"/>
          <w:szCs w:val="24"/>
        </w:rPr>
      </w:pPr>
      <w:r>
        <w:rPr>
          <w:rFonts w:hint="eastAsia" w:ascii="宋体" w:hAnsi="宋体" w:eastAsia="宋体" w:cs="宋体"/>
          <w:color w:val="auto"/>
          <w:sz w:val="24"/>
          <w:szCs w:val="24"/>
          <w:shd w:val="clear" w:color="auto" w:fill="FFFFFF"/>
        </w:rPr>
        <w:t>需连续运行测试的设备，试运行周期不少于</w:t>
      </w:r>
      <w:r>
        <w:rPr>
          <w:rFonts w:hint="eastAsia" w:ascii="宋体" w:hAnsi="宋体" w:eastAsia="宋体" w:cs="宋体"/>
          <w:color w:val="auto"/>
          <w:sz w:val="24"/>
          <w:szCs w:val="24"/>
          <w:shd w:val="clear" w:color="auto" w:fill="FFFFFF"/>
          <w:lang w:val="en-US" w:eastAsia="zh-CN"/>
        </w:rPr>
        <w:t>72</w:t>
      </w:r>
      <w:r>
        <w:rPr>
          <w:rFonts w:hint="eastAsia" w:ascii="宋体" w:hAnsi="宋体" w:eastAsia="宋体" w:cs="宋体"/>
          <w:color w:val="auto"/>
          <w:sz w:val="24"/>
          <w:szCs w:val="24"/>
          <w:shd w:val="clear" w:color="auto" w:fill="FFFFFF"/>
        </w:rPr>
        <w:t>小时，试运行期间故障、指标不达标均判定测试不合格。</w:t>
      </w:r>
    </w:p>
    <w:p w14:paraId="5F9D8918">
      <w:pPr>
        <w:tabs>
          <w:tab w:val="left" w:pos="900"/>
          <w:tab w:val="left" w:pos="1100"/>
        </w:tabs>
        <w:spacing w:line="360" w:lineRule="auto"/>
        <w:ind w:firstLine="470" w:firstLineChars="196"/>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9</w:t>
      </w:r>
      <w:r>
        <w:rPr>
          <w:rFonts w:hint="eastAsia" w:ascii="宋体" w:hAnsi="宋体" w:eastAsia="宋体" w:cs="宋体"/>
          <w:b/>
          <w:color w:val="auto"/>
          <w:sz w:val="24"/>
          <w:szCs w:val="24"/>
        </w:rPr>
        <w:t>、知识产权：</w:t>
      </w:r>
    </w:p>
    <w:p w14:paraId="51492D63">
      <w:pPr>
        <w:pStyle w:val="18"/>
        <w:wordWrap w:val="0"/>
        <w:spacing w:before="20" w:beforeAutospacing="0" w:after="20" w:afterAutospacing="0" w:line="360" w:lineRule="auto"/>
        <w:ind w:left="0" w:right="376"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shd w:val="clear" w:color="auto" w:fill="FFFFFF"/>
          <w:lang w:val="en-US" w:eastAsia="zh-CN"/>
        </w:rPr>
        <w:t>9.1</w:t>
      </w:r>
      <w:r>
        <w:rPr>
          <w:rFonts w:hint="eastAsia" w:ascii="宋体" w:hAnsi="宋体" w:eastAsia="宋体" w:cs="宋体"/>
          <w:color w:val="auto"/>
          <w:sz w:val="24"/>
          <w:szCs w:val="24"/>
          <w:shd w:val="clear" w:color="auto" w:fill="FFFFFF"/>
          <w:lang w:eastAsia="zh-CN"/>
        </w:rPr>
        <w:t>成交人</w:t>
      </w:r>
      <w:r>
        <w:rPr>
          <w:rFonts w:hint="eastAsia" w:ascii="宋体" w:hAnsi="宋体" w:eastAsia="宋体" w:cs="宋体"/>
          <w:color w:val="auto"/>
          <w:sz w:val="24"/>
          <w:szCs w:val="24"/>
          <w:shd w:val="clear" w:color="auto" w:fill="FFFFFF"/>
        </w:rPr>
        <w:t>提供的服务或使用的产品、软件等应符合国家知识产权法律、法规的规定；</w:t>
      </w:r>
      <w:r>
        <w:rPr>
          <w:rFonts w:hint="eastAsia" w:ascii="宋体" w:hAnsi="宋体" w:eastAsia="宋体" w:cs="宋体"/>
          <w:color w:val="auto"/>
          <w:sz w:val="24"/>
          <w:szCs w:val="24"/>
          <w:shd w:val="clear" w:color="auto" w:fill="FFFFFF"/>
          <w:lang w:eastAsia="zh-CN"/>
        </w:rPr>
        <w:t>成交人</w:t>
      </w:r>
      <w:r>
        <w:rPr>
          <w:rFonts w:hint="eastAsia" w:ascii="宋体" w:hAnsi="宋体" w:eastAsia="宋体" w:cs="宋体"/>
          <w:color w:val="auto"/>
          <w:sz w:val="24"/>
          <w:szCs w:val="24"/>
          <w:shd w:val="clear" w:color="auto" w:fill="FFFFFF"/>
        </w:rPr>
        <w:t>还应保证采购人不受到第三方关于侵犯知识产权及专利权、商标权或工业设计权等知识产权方面的指控，任何第三方如果提出此方面指控均与采购人无关，</w:t>
      </w:r>
      <w:r>
        <w:rPr>
          <w:rFonts w:hint="eastAsia" w:ascii="宋体" w:hAnsi="宋体" w:eastAsia="宋体" w:cs="宋体"/>
          <w:color w:val="auto"/>
          <w:sz w:val="24"/>
          <w:szCs w:val="24"/>
          <w:shd w:val="clear" w:color="auto" w:fill="FFFFFF"/>
          <w:lang w:eastAsia="zh-CN"/>
        </w:rPr>
        <w:t>成交人</w:t>
      </w:r>
      <w:r>
        <w:rPr>
          <w:rFonts w:hint="eastAsia" w:ascii="宋体" w:hAnsi="宋体" w:eastAsia="宋体" w:cs="宋体"/>
          <w:color w:val="auto"/>
          <w:sz w:val="24"/>
          <w:szCs w:val="24"/>
          <w:shd w:val="clear" w:color="auto" w:fill="FFFFFF"/>
        </w:rPr>
        <w:t>应与第三方交涉，并承担可能发生的一切法律责任、费用和后果；若采购人因此而遭致损失，则</w:t>
      </w:r>
      <w:r>
        <w:rPr>
          <w:rFonts w:hint="eastAsia" w:ascii="宋体" w:hAnsi="宋体" w:eastAsia="宋体" w:cs="宋体"/>
          <w:color w:val="auto"/>
          <w:sz w:val="24"/>
          <w:szCs w:val="24"/>
          <w:shd w:val="clear" w:color="auto" w:fill="FFFFFF"/>
          <w:lang w:eastAsia="zh-CN"/>
        </w:rPr>
        <w:t>成交人</w:t>
      </w:r>
      <w:r>
        <w:rPr>
          <w:rFonts w:hint="eastAsia" w:ascii="宋体" w:hAnsi="宋体" w:eastAsia="宋体" w:cs="宋体"/>
          <w:color w:val="auto"/>
          <w:sz w:val="24"/>
          <w:szCs w:val="24"/>
          <w:shd w:val="clear" w:color="auto" w:fill="FFFFFF"/>
        </w:rPr>
        <w:t>应赔偿该损失。</w:t>
      </w:r>
    </w:p>
    <w:p w14:paraId="0FF5C9AF">
      <w:pPr>
        <w:pStyle w:val="18"/>
        <w:wordWrap w:val="0"/>
        <w:spacing w:before="20" w:beforeAutospacing="0" w:after="20" w:afterAutospacing="0" w:line="360" w:lineRule="auto"/>
        <w:ind w:left="0" w:right="376"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shd w:val="clear" w:color="auto" w:fill="FFFFFF"/>
          <w:lang w:val="en-US" w:eastAsia="zh-CN"/>
        </w:rPr>
        <w:t>9.</w:t>
      </w:r>
      <w:r>
        <w:rPr>
          <w:rFonts w:hint="eastAsia" w:ascii="宋体" w:hAnsi="宋体" w:eastAsia="宋体" w:cs="宋体"/>
          <w:color w:val="auto"/>
          <w:sz w:val="24"/>
          <w:szCs w:val="24"/>
          <w:shd w:val="clear" w:color="auto" w:fill="FFFFFF"/>
        </w:rPr>
        <w:t>2若</w:t>
      </w:r>
      <w:r>
        <w:rPr>
          <w:rFonts w:hint="eastAsia" w:ascii="宋体" w:hAnsi="宋体" w:eastAsia="宋体" w:cs="宋体"/>
          <w:color w:val="auto"/>
          <w:sz w:val="24"/>
          <w:szCs w:val="24"/>
          <w:shd w:val="clear" w:color="auto" w:fill="FFFFFF"/>
          <w:lang w:eastAsia="zh-CN"/>
        </w:rPr>
        <w:t>成交人</w:t>
      </w:r>
      <w:r>
        <w:rPr>
          <w:rFonts w:hint="eastAsia" w:ascii="宋体" w:hAnsi="宋体" w:eastAsia="宋体" w:cs="宋体"/>
          <w:color w:val="auto"/>
          <w:sz w:val="24"/>
          <w:szCs w:val="24"/>
          <w:shd w:val="clear" w:color="auto" w:fill="FFFFFF"/>
        </w:rPr>
        <w:t>提供的服务或使用的产品、软件等不符合国家知识产权法律、法规的规定或被有关主管机关认定为侵权或假冒伪劣品，则</w:t>
      </w:r>
      <w:r>
        <w:rPr>
          <w:rFonts w:hint="eastAsia" w:ascii="宋体" w:hAnsi="宋体" w:eastAsia="宋体" w:cs="宋体"/>
          <w:color w:val="auto"/>
          <w:sz w:val="24"/>
          <w:szCs w:val="24"/>
          <w:shd w:val="clear" w:color="auto" w:fill="FFFFFF"/>
          <w:lang w:eastAsia="zh-CN"/>
        </w:rPr>
        <w:t>成交人</w:t>
      </w:r>
      <w:r>
        <w:rPr>
          <w:rFonts w:hint="eastAsia" w:ascii="宋体" w:hAnsi="宋体" w:eastAsia="宋体" w:cs="宋体"/>
          <w:color w:val="auto"/>
          <w:sz w:val="24"/>
          <w:szCs w:val="24"/>
          <w:shd w:val="clear" w:color="auto" w:fill="FFFFFF"/>
        </w:rPr>
        <w:t>中标或成交资格将被取消；采购人还将按照有关法律、法规和规章的规定进行处理，具体如下：</w:t>
      </w:r>
    </w:p>
    <w:p w14:paraId="0DB4595A">
      <w:pPr>
        <w:pStyle w:val="18"/>
        <w:wordWrap w:val="0"/>
        <w:spacing w:before="20" w:beforeAutospacing="0" w:after="20" w:afterAutospacing="0" w:line="360" w:lineRule="auto"/>
        <w:ind w:left="0" w:right="376" w:firstLine="480" w:firstLineChars="200"/>
        <w:jc w:val="both"/>
        <w:rPr>
          <w:rFonts w:hint="eastAsia" w:ascii="宋体" w:hAnsi="宋体" w:eastAsia="宋体" w:cs="宋体"/>
          <w:b/>
          <w:color w:val="auto"/>
          <w:sz w:val="24"/>
          <w:szCs w:val="24"/>
        </w:rPr>
      </w:pPr>
      <w:r>
        <w:rPr>
          <w:rFonts w:hint="eastAsia" w:ascii="宋体" w:hAnsi="宋体" w:eastAsia="宋体" w:cs="宋体"/>
          <w:color w:val="auto"/>
          <w:sz w:val="24"/>
          <w:szCs w:val="24"/>
          <w:shd w:val="clear" w:color="auto" w:fill="FFFFFF"/>
          <w:lang w:val="en-US" w:eastAsia="zh-CN"/>
        </w:rPr>
        <w:t>9.3</w:t>
      </w:r>
      <w:r>
        <w:rPr>
          <w:rFonts w:hint="eastAsia" w:ascii="宋体" w:hAnsi="宋体" w:eastAsia="宋体" w:cs="宋体"/>
          <w:color w:val="auto"/>
          <w:sz w:val="24"/>
          <w:szCs w:val="24"/>
          <w:shd w:val="clear" w:color="auto" w:fill="FFFFFF"/>
          <w:lang w:eastAsia="zh-CN"/>
        </w:rPr>
        <w:t>成交人</w:t>
      </w:r>
      <w:r>
        <w:rPr>
          <w:rFonts w:hint="eastAsia" w:ascii="宋体" w:hAnsi="宋体" w:eastAsia="宋体" w:cs="宋体"/>
          <w:color w:val="auto"/>
          <w:sz w:val="24"/>
          <w:szCs w:val="24"/>
          <w:shd w:val="clear" w:color="auto" w:fill="FFFFFF"/>
        </w:rPr>
        <w:t>为执行本合同而提供的技术资料、软件，采购人有权进行使用，</w:t>
      </w:r>
      <w:r>
        <w:rPr>
          <w:rFonts w:hint="eastAsia" w:ascii="宋体" w:hAnsi="宋体" w:eastAsia="宋体" w:cs="宋体"/>
          <w:color w:val="auto"/>
          <w:sz w:val="24"/>
          <w:szCs w:val="24"/>
          <w:shd w:val="clear" w:color="auto" w:fill="FFFFFF"/>
          <w:lang w:eastAsia="zh-CN"/>
        </w:rPr>
        <w:t>成交人</w:t>
      </w:r>
      <w:r>
        <w:rPr>
          <w:rFonts w:hint="eastAsia" w:ascii="宋体" w:hAnsi="宋体" w:eastAsia="宋体" w:cs="宋体"/>
          <w:color w:val="auto"/>
          <w:sz w:val="24"/>
          <w:szCs w:val="24"/>
          <w:shd w:val="clear" w:color="auto" w:fill="FFFFFF"/>
        </w:rPr>
        <w:t>不得主张任何费用。</w:t>
      </w:r>
    </w:p>
    <w:p w14:paraId="519490C6">
      <w:pPr>
        <w:tabs>
          <w:tab w:val="left" w:pos="900"/>
          <w:tab w:val="left" w:pos="1100"/>
        </w:tabs>
        <w:spacing w:line="360" w:lineRule="auto"/>
        <w:ind w:firstLine="470" w:firstLineChars="196"/>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10</w:t>
      </w:r>
      <w:r>
        <w:rPr>
          <w:rFonts w:hint="eastAsia" w:ascii="宋体" w:hAnsi="宋体" w:eastAsia="宋体" w:cs="宋体"/>
          <w:b/>
          <w:color w:val="auto"/>
          <w:sz w:val="24"/>
          <w:szCs w:val="24"/>
        </w:rPr>
        <w:t>、保密：</w:t>
      </w:r>
    </w:p>
    <w:p w14:paraId="653B595A">
      <w:pPr>
        <w:pStyle w:val="18"/>
        <w:wordWrap w:val="0"/>
        <w:spacing w:before="20" w:beforeAutospacing="0" w:after="20" w:afterAutospacing="0" w:line="360" w:lineRule="auto"/>
        <w:ind w:left="0" w:right="376" w:firstLine="480" w:firstLineChars="200"/>
        <w:jc w:val="both"/>
        <w:rPr>
          <w:rFonts w:hint="eastAsia" w:ascii="宋体" w:hAnsi="宋体" w:eastAsia="宋体" w:cs="宋体"/>
          <w:color w:val="auto"/>
          <w:sz w:val="24"/>
          <w:szCs w:val="24"/>
          <w:shd w:val="clear" w:color="auto" w:fill="FFFFFF"/>
        </w:rPr>
      </w:pPr>
      <w:r>
        <w:rPr>
          <w:rFonts w:hint="eastAsia" w:ascii="宋体" w:hAnsi="宋体" w:eastAsia="宋体" w:cs="宋体"/>
          <w:color w:val="auto"/>
          <w:sz w:val="24"/>
          <w:szCs w:val="24"/>
          <w:shd w:val="clear" w:color="auto" w:fill="FFFFFF"/>
          <w:lang w:val="en-US" w:eastAsia="zh-CN"/>
        </w:rPr>
        <w:t>10</w:t>
      </w:r>
      <w:r>
        <w:rPr>
          <w:rFonts w:hint="eastAsia" w:ascii="宋体" w:hAnsi="宋体" w:eastAsia="宋体" w:cs="宋体"/>
          <w:color w:val="auto"/>
          <w:sz w:val="24"/>
          <w:szCs w:val="24"/>
          <w:shd w:val="clear" w:color="auto" w:fill="FFFFFF"/>
        </w:rPr>
        <w:t>.1对于在采购和合同履行过程中所获悉的属于保密的内容，甲、乙双方均负有保密义务。</w:t>
      </w:r>
    </w:p>
    <w:p w14:paraId="6A7A983A">
      <w:pPr>
        <w:pStyle w:val="18"/>
        <w:wordWrap w:val="0"/>
        <w:spacing w:before="20" w:beforeAutospacing="0" w:after="20" w:afterAutospacing="0" w:line="360" w:lineRule="auto"/>
        <w:ind w:left="0" w:right="376"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shd w:val="clear" w:color="auto" w:fill="FFFFFF"/>
          <w:lang w:val="en-US" w:eastAsia="zh-CN"/>
        </w:rPr>
        <w:t>10</w:t>
      </w:r>
      <w:r>
        <w:rPr>
          <w:rFonts w:hint="eastAsia" w:ascii="宋体" w:hAnsi="宋体" w:eastAsia="宋体" w:cs="宋体"/>
          <w:color w:val="auto"/>
          <w:sz w:val="24"/>
          <w:szCs w:val="24"/>
          <w:shd w:val="clear" w:color="auto" w:fill="FFFFFF"/>
        </w:rPr>
        <w:t>.2未经采购人事先书面同意，</w:t>
      </w:r>
      <w:r>
        <w:rPr>
          <w:rFonts w:hint="eastAsia" w:ascii="宋体" w:hAnsi="宋体" w:eastAsia="宋体" w:cs="宋体"/>
          <w:color w:val="auto"/>
          <w:sz w:val="24"/>
          <w:szCs w:val="24"/>
          <w:shd w:val="clear" w:color="auto" w:fill="FFFFFF"/>
          <w:lang w:eastAsia="zh-CN"/>
        </w:rPr>
        <w:t>成交人</w:t>
      </w:r>
      <w:r>
        <w:rPr>
          <w:rFonts w:hint="eastAsia" w:ascii="宋体" w:hAnsi="宋体" w:eastAsia="宋体" w:cs="宋体"/>
          <w:color w:val="auto"/>
          <w:sz w:val="24"/>
          <w:szCs w:val="24"/>
          <w:shd w:val="clear" w:color="auto" w:fill="FFFFFF"/>
        </w:rPr>
        <w:t>不得将由采购人为本项目合同提供的条文、规格、计划、资料提供给与本合同无关的任何第三方，不得将其用于履行本项目合同之外的其它用途。即使向与履行本项目合同有关的人员提供，也应注意保密并限于履行项目所必需的范围。</w:t>
      </w:r>
    </w:p>
    <w:p w14:paraId="4CC19F1A">
      <w:pPr>
        <w:pStyle w:val="18"/>
        <w:wordWrap w:val="0"/>
        <w:spacing w:before="20" w:beforeAutospacing="0" w:after="20" w:afterAutospacing="0" w:line="360" w:lineRule="auto"/>
        <w:ind w:left="0" w:right="376"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shd w:val="clear" w:color="auto" w:fill="FFFFFF"/>
          <w:lang w:val="en-US" w:eastAsia="zh-CN"/>
        </w:rPr>
        <w:t>10</w:t>
      </w:r>
      <w:r>
        <w:rPr>
          <w:rFonts w:hint="eastAsia" w:ascii="宋体" w:hAnsi="宋体" w:eastAsia="宋体" w:cs="宋体"/>
          <w:color w:val="auto"/>
          <w:sz w:val="24"/>
          <w:szCs w:val="24"/>
          <w:shd w:val="clear" w:color="auto" w:fill="FFFFFF"/>
        </w:rPr>
        <w:t>.3除了合同本身之外，</w:t>
      </w:r>
      <w:r>
        <w:rPr>
          <w:rFonts w:hint="eastAsia" w:ascii="宋体" w:hAnsi="宋体" w:eastAsia="宋体" w:cs="宋体"/>
          <w:color w:val="auto"/>
          <w:sz w:val="24"/>
          <w:szCs w:val="24"/>
          <w:u w:val="single"/>
          <w:shd w:val="clear" w:color="auto" w:fill="FFFFFF"/>
        </w:rPr>
        <w:t>福州职业技术学院数据中心机房设备维护采购项目</w:t>
      </w:r>
      <w:r>
        <w:rPr>
          <w:rFonts w:hint="eastAsia" w:ascii="宋体" w:hAnsi="宋体" w:eastAsia="宋体" w:cs="宋体"/>
          <w:color w:val="auto"/>
          <w:sz w:val="24"/>
          <w:szCs w:val="24"/>
          <w:shd w:val="clear" w:color="auto" w:fill="FFFFFF"/>
        </w:rPr>
        <w:t>所列举的任何物件均是采购人的财产。如果采购人有要求，</w:t>
      </w:r>
      <w:r>
        <w:rPr>
          <w:rFonts w:hint="eastAsia" w:ascii="宋体" w:hAnsi="宋体" w:eastAsia="宋体" w:cs="宋体"/>
          <w:color w:val="auto"/>
          <w:sz w:val="24"/>
          <w:szCs w:val="24"/>
          <w:shd w:val="clear" w:color="auto" w:fill="FFFFFF"/>
          <w:lang w:eastAsia="zh-CN"/>
        </w:rPr>
        <w:t>成交人</w:t>
      </w:r>
      <w:r>
        <w:rPr>
          <w:rFonts w:hint="eastAsia" w:ascii="宋体" w:hAnsi="宋体" w:eastAsia="宋体" w:cs="宋体"/>
          <w:color w:val="auto"/>
          <w:sz w:val="24"/>
          <w:szCs w:val="24"/>
          <w:shd w:val="clear" w:color="auto" w:fill="FFFFFF"/>
        </w:rPr>
        <w:t>在收到采购人的要求后10日内应将这些物件及全部复制件还给采购人，不得留存任何备份。</w:t>
      </w:r>
    </w:p>
    <w:p w14:paraId="01193FC1">
      <w:pPr>
        <w:pStyle w:val="18"/>
        <w:wordWrap w:val="0"/>
        <w:spacing w:before="20" w:after="20"/>
        <w:ind w:left="0" w:right="376" w:firstLine="480" w:firstLineChars="200"/>
        <w:rPr>
          <w:rFonts w:hint="eastAsia" w:ascii="宋体" w:hAnsi="宋体" w:eastAsia="宋体" w:cs="宋体"/>
          <w:b/>
          <w:color w:val="auto"/>
          <w:sz w:val="24"/>
          <w:szCs w:val="24"/>
        </w:rPr>
      </w:pPr>
      <w:r>
        <w:rPr>
          <w:rFonts w:hint="eastAsia" w:ascii="宋体" w:hAnsi="宋体" w:eastAsia="宋体" w:cs="宋体"/>
          <w:color w:val="auto"/>
          <w:sz w:val="24"/>
          <w:szCs w:val="24"/>
          <w:shd w:val="clear" w:color="auto" w:fill="FFFFFF"/>
          <w:lang w:val="en-US" w:eastAsia="zh-CN"/>
        </w:rPr>
        <w:t>10</w:t>
      </w:r>
      <w:r>
        <w:rPr>
          <w:rFonts w:hint="eastAsia" w:ascii="宋体" w:hAnsi="宋体" w:eastAsia="宋体" w:cs="宋体"/>
          <w:color w:val="auto"/>
          <w:sz w:val="24"/>
          <w:szCs w:val="24"/>
          <w:shd w:val="clear" w:color="auto" w:fill="FFFFFF"/>
        </w:rPr>
        <w:t>.4</w:t>
      </w:r>
      <w:r>
        <w:rPr>
          <w:rFonts w:hint="eastAsia" w:ascii="宋体" w:hAnsi="宋体" w:eastAsia="宋体" w:cs="宋体"/>
          <w:color w:val="auto"/>
          <w:sz w:val="24"/>
          <w:szCs w:val="24"/>
          <w:shd w:val="clear" w:color="auto" w:fill="FFFFFF"/>
          <w:lang w:eastAsia="zh-CN"/>
        </w:rPr>
        <w:t>成交人</w:t>
      </w:r>
      <w:r>
        <w:rPr>
          <w:rFonts w:hint="eastAsia" w:ascii="宋体" w:hAnsi="宋体" w:eastAsia="宋体" w:cs="宋体"/>
          <w:color w:val="auto"/>
          <w:sz w:val="24"/>
          <w:szCs w:val="24"/>
          <w:shd w:val="clear" w:color="auto" w:fill="FFFFFF"/>
        </w:rPr>
        <w:t>违反本保密条款的，应按照合同总金额10%的支付违约金，</w:t>
      </w:r>
      <w:r>
        <w:rPr>
          <w:rFonts w:hint="eastAsia" w:ascii="宋体" w:hAnsi="宋体" w:eastAsia="宋体" w:cs="宋体"/>
          <w:color w:val="auto"/>
          <w:sz w:val="24"/>
          <w:szCs w:val="24"/>
          <w:shd w:val="clear" w:color="auto" w:fill="FFFFFF"/>
          <w:lang w:eastAsia="zh-CN"/>
        </w:rPr>
        <w:t>成交人</w:t>
      </w:r>
      <w:r>
        <w:rPr>
          <w:rFonts w:hint="eastAsia" w:ascii="宋体" w:hAnsi="宋体" w:eastAsia="宋体" w:cs="宋体"/>
          <w:color w:val="auto"/>
          <w:sz w:val="24"/>
          <w:szCs w:val="24"/>
          <w:shd w:val="clear" w:color="auto" w:fill="FFFFFF"/>
        </w:rPr>
        <w:t>须以转账方式支付给采购人，并赔偿由此给采购人造成的任何损失。本条款在本合同履行期间至履行结束后均有效。</w:t>
      </w:r>
    </w:p>
    <w:p w14:paraId="1A069B50">
      <w:pPr>
        <w:tabs>
          <w:tab w:val="left" w:pos="900"/>
          <w:tab w:val="left" w:pos="1100"/>
        </w:tabs>
        <w:spacing w:line="360" w:lineRule="auto"/>
        <w:ind w:firstLine="470" w:firstLineChars="196"/>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11</w:t>
      </w:r>
      <w:r>
        <w:rPr>
          <w:rFonts w:hint="eastAsia" w:ascii="宋体" w:hAnsi="宋体" w:eastAsia="宋体" w:cs="宋体"/>
          <w:b/>
          <w:color w:val="auto"/>
          <w:sz w:val="24"/>
          <w:szCs w:val="24"/>
        </w:rPr>
        <w:t>、违约责任：</w:t>
      </w:r>
    </w:p>
    <w:p w14:paraId="791A8841">
      <w:pPr>
        <w:pStyle w:val="18"/>
        <w:wordWrap w:val="0"/>
        <w:spacing w:before="20" w:beforeAutospacing="0" w:after="20" w:afterAutospacing="0" w:line="360" w:lineRule="auto"/>
        <w:ind w:left="0" w:right="376"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shd w:val="clear" w:color="auto" w:fill="FFFFFF"/>
          <w:lang w:val="en-US" w:eastAsia="zh-CN"/>
        </w:rPr>
        <w:t>11.1</w:t>
      </w:r>
      <w:r>
        <w:rPr>
          <w:rFonts w:hint="eastAsia" w:ascii="宋体" w:hAnsi="宋体" w:eastAsia="宋体" w:cs="宋体"/>
          <w:color w:val="auto"/>
          <w:sz w:val="24"/>
          <w:szCs w:val="24"/>
          <w:shd w:val="clear" w:color="auto" w:fill="FFFFFF"/>
          <w:lang w:eastAsia="zh-CN"/>
        </w:rPr>
        <w:t>成交人</w:t>
      </w:r>
      <w:r>
        <w:rPr>
          <w:rFonts w:hint="eastAsia" w:ascii="宋体" w:hAnsi="宋体" w:eastAsia="宋体" w:cs="宋体"/>
          <w:color w:val="auto"/>
          <w:sz w:val="24"/>
          <w:szCs w:val="24"/>
          <w:shd w:val="clear" w:color="auto" w:fill="FFFFFF"/>
        </w:rPr>
        <w:t>逾期履行服务的，</w:t>
      </w:r>
      <w:r>
        <w:rPr>
          <w:rFonts w:hint="eastAsia" w:ascii="宋体" w:hAnsi="宋体" w:eastAsia="宋体" w:cs="宋体"/>
          <w:color w:val="auto"/>
          <w:sz w:val="24"/>
          <w:szCs w:val="24"/>
          <w:shd w:val="clear" w:color="auto" w:fill="FFFFFF"/>
          <w:lang w:eastAsia="zh-CN"/>
        </w:rPr>
        <w:t>成交人</w:t>
      </w:r>
      <w:r>
        <w:rPr>
          <w:rFonts w:hint="eastAsia" w:ascii="宋体" w:hAnsi="宋体" w:eastAsia="宋体" w:cs="宋体"/>
          <w:color w:val="auto"/>
          <w:sz w:val="24"/>
          <w:szCs w:val="24"/>
          <w:shd w:val="clear" w:color="auto" w:fill="FFFFFF"/>
        </w:rPr>
        <w:t>应按逾期交付总额每日0.5%向采购人支付违约金，由采购人从待付货款中扣除。</w:t>
      </w:r>
      <w:r>
        <w:rPr>
          <w:rFonts w:hint="eastAsia" w:ascii="宋体" w:hAnsi="宋体" w:eastAsia="宋体" w:cs="宋体"/>
          <w:color w:val="auto"/>
          <w:sz w:val="24"/>
          <w:szCs w:val="24"/>
          <w:shd w:val="clear" w:color="auto" w:fill="FFFFFF"/>
          <w:lang w:eastAsia="zh-CN"/>
        </w:rPr>
        <w:t>成交人</w:t>
      </w:r>
      <w:r>
        <w:rPr>
          <w:rFonts w:hint="eastAsia" w:ascii="宋体" w:hAnsi="宋体" w:eastAsia="宋体" w:cs="宋体"/>
          <w:color w:val="auto"/>
          <w:sz w:val="24"/>
          <w:szCs w:val="24"/>
          <w:shd w:val="clear" w:color="auto" w:fill="FFFFFF"/>
        </w:rPr>
        <w:t>无正当理由逾期超过约定日期30天仍不能交付的，视为“</w:t>
      </w:r>
      <w:r>
        <w:rPr>
          <w:rFonts w:hint="eastAsia" w:ascii="宋体" w:hAnsi="宋体" w:eastAsia="宋体" w:cs="宋体"/>
          <w:color w:val="auto"/>
          <w:sz w:val="24"/>
          <w:szCs w:val="24"/>
          <w:shd w:val="clear" w:color="auto" w:fill="FFFFFF"/>
          <w:lang w:eastAsia="zh-CN"/>
        </w:rPr>
        <w:t>成交人</w:t>
      </w:r>
      <w:r>
        <w:rPr>
          <w:rFonts w:hint="eastAsia" w:ascii="宋体" w:hAnsi="宋体" w:eastAsia="宋体" w:cs="宋体"/>
          <w:color w:val="auto"/>
          <w:sz w:val="24"/>
          <w:szCs w:val="24"/>
          <w:shd w:val="clear" w:color="auto" w:fill="FFFFFF"/>
        </w:rPr>
        <w:t>不按合同约定履约”；</w:t>
      </w:r>
    </w:p>
    <w:p w14:paraId="661EDB5E">
      <w:pPr>
        <w:pStyle w:val="18"/>
        <w:wordWrap w:val="0"/>
        <w:spacing w:before="20" w:beforeAutospacing="0" w:after="20" w:afterAutospacing="0" w:line="360" w:lineRule="auto"/>
        <w:ind w:left="0" w:right="376"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shd w:val="clear" w:color="auto" w:fill="FFFFFF"/>
          <w:lang w:val="en-US" w:eastAsia="zh-CN"/>
        </w:rPr>
        <w:t>11.2</w:t>
      </w:r>
      <w:r>
        <w:rPr>
          <w:rFonts w:hint="eastAsia" w:ascii="宋体" w:hAnsi="宋体" w:eastAsia="宋体" w:cs="宋体"/>
          <w:color w:val="auto"/>
          <w:sz w:val="24"/>
          <w:szCs w:val="24"/>
          <w:shd w:val="clear" w:color="auto" w:fill="FFFFFF"/>
          <w:lang w:eastAsia="zh-CN"/>
        </w:rPr>
        <w:t>成交人</w:t>
      </w:r>
      <w:r>
        <w:rPr>
          <w:rFonts w:hint="eastAsia" w:ascii="宋体" w:hAnsi="宋体" w:eastAsia="宋体" w:cs="宋体"/>
          <w:color w:val="auto"/>
          <w:sz w:val="24"/>
          <w:szCs w:val="24"/>
          <w:shd w:val="clear" w:color="auto" w:fill="FFFFFF"/>
        </w:rPr>
        <w:t>所履行的服务不符合合同规定及《</w:t>
      </w:r>
      <w:r>
        <w:rPr>
          <w:rFonts w:hint="eastAsia" w:ascii="宋体" w:hAnsi="宋体" w:eastAsia="宋体" w:cs="宋体"/>
          <w:color w:val="auto"/>
          <w:sz w:val="24"/>
          <w:szCs w:val="24"/>
          <w:shd w:val="clear" w:color="auto" w:fill="FFFFFF"/>
          <w:lang w:eastAsia="zh-CN"/>
        </w:rPr>
        <w:t>竞价</w:t>
      </w:r>
      <w:r>
        <w:rPr>
          <w:rFonts w:hint="eastAsia" w:ascii="宋体" w:hAnsi="宋体" w:eastAsia="宋体" w:cs="宋体"/>
          <w:color w:val="auto"/>
          <w:sz w:val="24"/>
          <w:szCs w:val="24"/>
          <w:shd w:val="clear" w:color="auto" w:fill="FFFFFF"/>
        </w:rPr>
        <w:t>文件》规定标准的，采购人有权拒绝，</w:t>
      </w:r>
      <w:r>
        <w:rPr>
          <w:rFonts w:hint="eastAsia" w:ascii="宋体" w:hAnsi="宋体" w:eastAsia="宋体" w:cs="宋体"/>
          <w:color w:val="auto"/>
          <w:sz w:val="24"/>
          <w:szCs w:val="24"/>
          <w:shd w:val="clear" w:color="auto" w:fill="FFFFFF"/>
          <w:lang w:eastAsia="zh-CN"/>
        </w:rPr>
        <w:t>成交人</w:t>
      </w:r>
      <w:r>
        <w:rPr>
          <w:rFonts w:hint="eastAsia" w:ascii="宋体" w:hAnsi="宋体" w:eastAsia="宋体" w:cs="宋体"/>
          <w:color w:val="auto"/>
          <w:sz w:val="24"/>
          <w:szCs w:val="24"/>
          <w:shd w:val="clear" w:color="auto" w:fill="FFFFFF"/>
        </w:rPr>
        <w:t>愿意整改但逾期履行的，按</w:t>
      </w:r>
      <w:r>
        <w:rPr>
          <w:rFonts w:hint="eastAsia" w:ascii="宋体" w:hAnsi="宋体" w:eastAsia="宋体" w:cs="宋体"/>
          <w:color w:val="auto"/>
          <w:sz w:val="24"/>
          <w:szCs w:val="24"/>
          <w:shd w:val="clear" w:color="auto" w:fill="FFFFFF"/>
          <w:lang w:eastAsia="zh-CN"/>
        </w:rPr>
        <w:t>成交人</w:t>
      </w:r>
      <w:r>
        <w:rPr>
          <w:rFonts w:hint="eastAsia" w:ascii="宋体" w:hAnsi="宋体" w:eastAsia="宋体" w:cs="宋体"/>
          <w:color w:val="auto"/>
          <w:sz w:val="24"/>
          <w:szCs w:val="24"/>
          <w:shd w:val="clear" w:color="auto" w:fill="FFFFFF"/>
        </w:rPr>
        <w:t>逾期履行处理。</w:t>
      </w:r>
      <w:r>
        <w:rPr>
          <w:rFonts w:hint="eastAsia" w:ascii="宋体" w:hAnsi="宋体" w:eastAsia="宋体" w:cs="宋体"/>
          <w:color w:val="auto"/>
          <w:sz w:val="24"/>
          <w:szCs w:val="24"/>
          <w:shd w:val="clear" w:color="auto" w:fill="FFFFFF"/>
          <w:lang w:eastAsia="zh-CN"/>
        </w:rPr>
        <w:t>成交人</w:t>
      </w:r>
      <w:r>
        <w:rPr>
          <w:rFonts w:hint="eastAsia" w:ascii="宋体" w:hAnsi="宋体" w:eastAsia="宋体" w:cs="宋体"/>
          <w:color w:val="auto"/>
          <w:sz w:val="24"/>
          <w:szCs w:val="24"/>
          <w:shd w:val="clear" w:color="auto" w:fill="FFFFFF"/>
        </w:rPr>
        <w:t>拒绝整改的，视为“</w:t>
      </w:r>
      <w:r>
        <w:rPr>
          <w:rFonts w:hint="eastAsia" w:ascii="宋体" w:hAnsi="宋体" w:eastAsia="宋体" w:cs="宋体"/>
          <w:color w:val="auto"/>
          <w:sz w:val="24"/>
          <w:szCs w:val="24"/>
          <w:shd w:val="clear" w:color="auto" w:fill="FFFFFF"/>
          <w:lang w:eastAsia="zh-CN"/>
        </w:rPr>
        <w:t>成交人</w:t>
      </w:r>
      <w:r>
        <w:rPr>
          <w:rFonts w:hint="eastAsia" w:ascii="宋体" w:hAnsi="宋体" w:eastAsia="宋体" w:cs="宋体"/>
          <w:color w:val="auto"/>
          <w:sz w:val="24"/>
          <w:szCs w:val="24"/>
          <w:shd w:val="clear" w:color="auto" w:fill="FFFFFF"/>
        </w:rPr>
        <w:t>不按合同约定履约”；</w:t>
      </w:r>
    </w:p>
    <w:p w14:paraId="47459488">
      <w:pPr>
        <w:pStyle w:val="18"/>
        <w:wordWrap w:val="0"/>
        <w:spacing w:before="20" w:beforeAutospacing="0" w:after="20" w:afterAutospacing="0" w:line="360" w:lineRule="auto"/>
        <w:ind w:left="0" w:right="376"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shd w:val="clear" w:color="auto" w:fill="FFFFFF"/>
          <w:lang w:val="en-US" w:eastAsia="zh-CN"/>
        </w:rPr>
        <w:t>11.3</w:t>
      </w:r>
      <w:r>
        <w:rPr>
          <w:rFonts w:hint="eastAsia" w:ascii="宋体" w:hAnsi="宋体" w:eastAsia="宋体" w:cs="宋体"/>
          <w:color w:val="auto"/>
          <w:sz w:val="24"/>
          <w:szCs w:val="24"/>
          <w:shd w:val="clear" w:color="auto" w:fill="FFFFFF"/>
          <w:lang w:eastAsia="zh-CN"/>
        </w:rPr>
        <w:t>成交人</w:t>
      </w:r>
      <w:r>
        <w:rPr>
          <w:rFonts w:hint="eastAsia" w:ascii="宋体" w:hAnsi="宋体" w:eastAsia="宋体" w:cs="宋体"/>
          <w:color w:val="auto"/>
          <w:sz w:val="24"/>
          <w:szCs w:val="24"/>
          <w:shd w:val="clear" w:color="auto" w:fill="FFFFFF"/>
        </w:rPr>
        <w:t>不按合同约定履约的，采购人可以解除采购合同，并对</w:t>
      </w:r>
      <w:r>
        <w:rPr>
          <w:rFonts w:hint="eastAsia" w:ascii="宋体" w:hAnsi="宋体" w:eastAsia="宋体" w:cs="宋体"/>
          <w:color w:val="auto"/>
          <w:sz w:val="24"/>
          <w:szCs w:val="24"/>
          <w:shd w:val="clear" w:color="auto" w:fill="FFFFFF"/>
          <w:lang w:eastAsia="zh-CN"/>
        </w:rPr>
        <w:t>成交人</w:t>
      </w:r>
      <w:r>
        <w:rPr>
          <w:rFonts w:hint="eastAsia" w:ascii="宋体" w:hAnsi="宋体" w:eastAsia="宋体" w:cs="宋体"/>
          <w:color w:val="auto"/>
          <w:sz w:val="24"/>
          <w:szCs w:val="24"/>
          <w:shd w:val="clear" w:color="auto" w:fill="FFFFFF"/>
        </w:rPr>
        <w:t>按以下约定向采购人支付违约金：</w:t>
      </w:r>
    </w:p>
    <w:p w14:paraId="0C641980">
      <w:pPr>
        <w:pStyle w:val="18"/>
        <w:wordWrap w:val="0"/>
        <w:spacing w:beforeAutospacing="0" w:afterAutospacing="0" w:line="360" w:lineRule="auto"/>
        <w:ind w:left="376" w:right="376" w:firstLine="420"/>
        <w:jc w:val="both"/>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成交人</w:t>
      </w:r>
      <w:r>
        <w:rPr>
          <w:rFonts w:hint="eastAsia" w:ascii="宋体" w:hAnsi="宋体" w:eastAsia="宋体" w:cs="宋体"/>
          <w:color w:val="auto"/>
          <w:sz w:val="24"/>
          <w:szCs w:val="24"/>
        </w:rPr>
        <w:t>应向采购人支付合同总金额的10%作为违约金。</w:t>
      </w:r>
    </w:p>
    <w:p w14:paraId="09666A76">
      <w:pPr>
        <w:pStyle w:val="5"/>
        <w:spacing w:line="460" w:lineRule="exact"/>
        <w:ind w:left="0" w:leftChars="0" w:firstLine="0" w:firstLineChars="0"/>
        <w:rPr>
          <w:rFonts w:ascii="宋体" w:hAnsi="宋体" w:cs="宋体"/>
          <w:sz w:val="24"/>
        </w:rPr>
      </w:pPr>
      <w:r>
        <w:rPr>
          <w:rFonts w:hint="eastAsia" w:ascii="宋体" w:hAnsi="宋体" w:cs="宋体"/>
          <w:sz w:val="24"/>
        </w:rPr>
        <w:br w:type="page"/>
      </w:r>
    </w:p>
    <w:p w14:paraId="30CB3C3A">
      <w:pPr>
        <w:spacing w:line="500" w:lineRule="exact"/>
        <w:jc w:val="center"/>
        <w:outlineLvl w:val="1"/>
        <w:rPr>
          <w:rStyle w:val="26"/>
          <w:rFonts w:ascii="宋体" w:hAnsi="宋体" w:cs="宋体"/>
          <w:b/>
          <w:color w:val="000000" w:themeColor="text1"/>
          <w:kern w:val="0"/>
          <w:sz w:val="30"/>
          <w:szCs w:val="30"/>
          <w14:textFill>
            <w14:solidFill>
              <w14:schemeClr w14:val="tx1"/>
            </w14:solidFill>
          </w14:textFill>
        </w:rPr>
      </w:pPr>
      <w:r>
        <w:rPr>
          <w:rStyle w:val="26"/>
          <w:rFonts w:hint="eastAsia" w:ascii="宋体" w:hAnsi="宋体" w:cs="宋体"/>
          <w:b/>
          <w:color w:val="000000" w:themeColor="text1"/>
          <w:kern w:val="0"/>
          <w:sz w:val="30"/>
          <w:szCs w:val="30"/>
          <w14:textFill>
            <w14:solidFill>
              <w14:schemeClr w14:val="tx1"/>
            </w14:solidFill>
          </w14:textFill>
        </w:rPr>
        <w:t>第三章 证明材料格式</w:t>
      </w:r>
      <w:bookmarkEnd w:id="27"/>
      <w:bookmarkEnd w:id="28"/>
    </w:p>
    <w:p w14:paraId="35EBC458">
      <w:pPr>
        <w:pStyle w:val="5"/>
        <w:spacing w:line="460" w:lineRule="exact"/>
        <w:rPr>
          <w:rFonts w:ascii="宋体" w:hAnsi="宋体" w:cs="宋体"/>
          <w:sz w:val="24"/>
        </w:rPr>
      </w:pPr>
      <w:r>
        <w:rPr>
          <w:rFonts w:hint="eastAsia" w:ascii="宋体" w:hAnsi="宋体" w:cs="宋体"/>
          <w:sz w:val="24"/>
        </w:rPr>
        <w:t>证明材料编制说明</w:t>
      </w:r>
    </w:p>
    <w:p w14:paraId="4B381B9D">
      <w:pPr>
        <w:pStyle w:val="5"/>
        <w:spacing w:line="460" w:lineRule="exact"/>
        <w:rPr>
          <w:rFonts w:ascii="宋体" w:hAnsi="宋体" w:cs="宋体"/>
          <w:sz w:val="24"/>
        </w:rPr>
      </w:pPr>
      <w:r>
        <w:rPr>
          <w:rFonts w:hint="eastAsia" w:ascii="宋体" w:hAnsi="宋体" w:cs="宋体"/>
          <w:sz w:val="24"/>
        </w:rPr>
        <w:t>1.编制要求：竞价供应商应详细阅读网上竞价文件内容，在编制证明材料时，要按证明材料格式进行编制，并保证其所提交的全部资料是不可割离且真实、合法、有效、准确、完整，否则造成不利后果由竞价供应商承担法律责任。</w:t>
      </w:r>
    </w:p>
    <w:p w14:paraId="1FE1318F">
      <w:pPr>
        <w:pStyle w:val="5"/>
        <w:spacing w:line="460" w:lineRule="exact"/>
        <w:rPr>
          <w:rFonts w:ascii="宋体" w:hAnsi="宋体" w:cs="宋体"/>
          <w:sz w:val="24"/>
        </w:rPr>
      </w:pPr>
      <w:r>
        <w:rPr>
          <w:rFonts w:hint="eastAsia" w:ascii="宋体" w:hAnsi="宋体" w:cs="宋体"/>
          <w:sz w:val="24"/>
        </w:rPr>
        <w:t>2.格式要求：证明材料应使用不能擦去的墨料或墨水打印、书写或复印，其中：应用A4幅面纸张打印装订，编制封面、页码，并每页加盖公章。</w:t>
      </w:r>
    </w:p>
    <w:p w14:paraId="631D9395">
      <w:pPr>
        <w:pStyle w:val="5"/>
        <w:spacing w:line="460" w:lineRule="exact"/>
        <w:rPr>
          <w:rFonts w:ascii="宋体" w:hAnsi="宋体" w:cs="宋体"/>
          <w:sz w:val="24"/>
        </w:rPr>
      </w:pPr>
      <w:r>
        <w:rPr>
          <w:rFonts w:hint="eastAsia" w:ascii="宋体" w:hAnsi="宋体" w:cs="宋体"/>
          <w:sz w:val="24"/>
        </w:rPr>
        <w:t>3.其他要求：</w:t>
      </w:r>
    </w:p>
    <w:p w14:paraId="06E2EC14">
      <w:pPr>
        <w:pStyle w:val="5"/>
        <w:spacing w:line="460" w:lineRule="exact"/>
        <w:rPr>
          <w:rFonts w:ascii="宋体" w:hAnsi="宋体" w:cs="宋体"/>
          <w:sz w:val="24"/>
        </w:rPr>
      </w:pPr>
      <w:r>
        <w:rPr>
          <w:rFonts w:hint="eastAsia" w:ascii="宋体" w:hAnsi="宋体" w:cs="宋体"/>
          <w:sz w:val="24"/>
        </w:rPr>
        <w:t>①竞价供应商在福建国诚招标有限公司网上竞价系统(http://115.28.8.36/)进行供应商注册、报名、竞价投标。</w:t>
      </w:r>
    </w:p>
    <w:p w14:paraId="6D3C5CC3">
      <w:pPr>
        <w:pStyle w:val="5"/>
        <w:spacing w:line="460" w:lineRule="exact"/>
        <w:rPr>
          <w:rFonts w:ascii="宋体" w:hAnsi="宋体" w:cs="宋体"/>
          <w:sz w:val="24"/>
        </w:rPr>
      </w:pPr>
      <w:r>
        <w:rPr>
          <w:rFonts w:hint="eastAsia" w:ascii="宋体" w:hAnsi="宋体" w:cs="宋体"/>
          <w:sz w:val="24"/>
        </w:rPr>
        <w:t>②证明材料应没有涂改或行间插字，否则其网上竞价系统审核不通过。</w:t>
      </w:r>
    </w:p>
    <w:p w14:paraId="19953446">
      <w:pPr>
        <w:pStyle w:val="5"/>
        <w:spacing w:line="460" w:lineRule="exact"/>
        <w:rPr>
          <w:rFonts w:ascii="宋体" w:hAnsi="宋体" w:cs="宋体"/>
          <w:sz w:val="24"/>
        </w:rPr>
      </w:pPr>
      <w:r>
        <w:rPr>
          <w:rFonts w:hint="eastAsia" w:ascii="宋体" w:hAnsi="宋体" w:cs="宋体"/>
          <w:sz w:val="24"/>
        </w:rPr>
        <w:br w:type="page"/>
      </w:r>
    </w:p>
    <w:p w14:paraId="447D2C0F">
      <w:pPr>
        <w:pStyle w:val="33"/>
        <w:spacing w:line="500" w:lineRule="exact"/>
        <w:rPr>
          <w:rFonts w:ascii="宋体" w:hAnsi="宋体" w:cs="宋体"/>
          <w:sz w:val="24"/>
          <w:szCs w:val="24"/>
        </w:rPr>
      </w:pPr>
    </w:p>
    <w:p w14:paraId="32B8E82A">
      <w:pPr>
        <w:pStyle w:val="33"/>
        <w:spacing w:line="500" w:lineRule="exact"/>
        <w:rPr>
          <w:rStyle w:val="26"/>
          <w:rFonts w:ascii="宋体" w:hAnsi="宋体" w:cs="宋体"/>
          <w:color w:val="000000" w:themeColor="text1"/>
          <w:sz w:val="24"/>
          <w:szCs w:val="24"/>
          <w14:textFill>
            <w14:solidFill>
              <w14:schemeClr w14:val="tx1"/>
            </w14:solidFill>
          </w14:textFill>
        </w:rPr>
      </w:pPr>
    </w:p>
    <w:p w14:paraId="2C3823CC">
      <w:pPr>
        <w:spacing w:line="500" w:lineRule="exact"/>
        <w:jc w:val="center"/>
        <w:rPr>
          <w:rStyle w:val="26"/>
          <w:rFonts w:ascii="宋体" w:hAnsi="宋体" w:cs="宋体"/>
          <w:color w:val="000000" w:themeColor="text1"/>
          <w:sz w:val="32"/>
          <w:szCs w:val="32"/>
          <w14:textFill>
            <w14:solidFill>
              <w14:schemeClr w14:val="tx1"/>
            </w14:solidFill>
          </w14:textFill>
        </w:rPr>
      </w:pPr>
      <w:r>
        <w:rPr>
          <w:rStyle w:val="26"/>
          <w:rFonts w:hint="eastAsia" w:ascii="宋体" w:hAnsi="宋体" w:cs="宋体"/>
          <w:color w:val="000000" w:themeColor="text1"/>
          <w:sz w:val="32"/>
          <w:szCs w:val="32"/>
          <w14:textFill>
            <w14:solidFill>
              <w14:schemeClr w14:val="tx1"/>
            </w14:solidFill>
          </w14:textFill>
        </w:rPr>
        <w:t>证明材料文件</w:t>
      </w:r>
    </w:p>
    <w:p w14:paraId="1D1C46D7">
      <w:pPr>
        <w:spacing w:line="500" w:lineRule="exact"/>
        <w:ind w:firstLine="600" w:firstLineChars="200"/>
        <w:jc w:val="left"/>
        <w:rPr>
          <w:rStyle w:val="26"/>
          <w:rFonts w:ascii="宋体" w:hAnsi="宋体" w:cs="宋体"/>
          <w:color w:val="000000" w:themeColor="text1"/>
          <w:sz w:val="30"/>
          <w:szCs w:val="30"/>
          <w14:textFill>
            <w14:solidFill>
              <w14:schemeClr w14:val="tx1"/>
            </w14:solidFill>
          </w14:textFill>
        </w:rPr>
      </w:pPr>
    </w:p>
    <w:p w14:paraId="4724A427">
      <w:pPr>
        <w:spacing w:line="500" w:lineRule="exact"/>
        <w:ind w:firstLine="600" w:firstLineChars="200"/>
        <w:jc w:val="left"/>
        <w:rPr>
          <w:rStyle w:val="26"/>
          <w:rFonts w:ascii="宋体" w:hAnsi="宋体" w:cs="宋体"/>
          <w:color w:val="000000" w:themeColor="text1"/>
          <w:sz w:val="30"/>
          <w:szCs w:val="30"/>
          <w14:textFill>
            <w14:solidFill>
              <w14:schemeClr w14:val="tx1"/>
            </w14:solidFill>
          </w14:textFill>
        </w:rPr>
      </w:pPr>
    </w:p>
    <w:p w14:paraId="164540C4">
      <w:pPr>
        <w:pStyle w:val="36"/>
        <w:spacing w:beforeAutospacing="0" w:afterAutospacing="0" w:line="500" w:lineRule="exact"/>
        <w:rPr>
          <w:rStyle w:val="26"/>
          <w:rFonts w:cs="宋体"/>
          <w:color w:val="000000" w:themeColor="text1"/>
          <w:sz w:val="30"/>
          <w:szCs w:val="30"/>
          <w14:textFill>
            <w14:solidFill>
              <w14:schemeClr w14:val="tx1"/>
            </w14:solidFill>
          </w14:textFill>
        </w:rPr>
      </w:pPr>
    </w:p>
    <w:p w14:paraId="1CD30A7D">
      <w:pPr>
        <w:spacing w:line="500" w:lineRule="exact"/>
        <w:ind w:firstLine="600" w:firstLineChars="200"/>
        <w:jc w:val="left"/>
        <w:rPr>
          <w:rStyle w:val="26"/>
          <w:rFonts w:ascii="宋体" w:hAnsi="宋体" w:cs="宋体"/>
          <w:color w:val="000000" w:themeColor="text1"/>
          <w:sz w:val="30"/>
          <w:szCs w:val="30"/>
          <w14:textFill>
            <w14:solidFill>
              <w14:schemeClr w14:val="tx1"/>
            </w14:solidFill>
          </w14:textFill>
        </w:rPr>
      </w:pPr>
    </w:p>
    <w:p w14:paraId="7459C108">
      <w:pPr>
        <w:spacing w:line="360" w:lineRule="auto"/>
        <w:ind w:firstLine="600" w:firstLineChars="200"/>
        <w:jc w:val="left"/>
        <w:rPr>
          <w:rStyle w:val="26"/>
          <w:rFonts w:ascii="宋体" w:hAnsi="宋体" w:cs="宋体"/>
          <w:color w:val="000000" w:themeColor="text1"/>
          <w:sz w:val="30"/>
          <w:szCs w:val="30"/>
          <w14:textFill>
            <w14:solidFill>
              <w14:schemeClr w14:val="tx1"/>
            </w14:solidFill>
          </w14:textFill>
        </w:rPr>
      </w:pPr>
      <w:r>
        <w:rPr>
          <w:rStyle w:val="26"/>
          <w:rFonts w:hint="eastAsia" w:ascii="宋体" w:hAnsi="宋体" w:cs="宋体"/>
          <w:color w:val="000000" w:themeColor="text1"/>
          <w:sz w:val="30"/>
          <w:szCs w:val="30"/>
          <w14:textFill>
            <w14:solidFill>
              <w14:schemeClr w14:val="tx1"/>
            </w14:solidFill>
          </w14:textFill>
        </w:rPr>
        <w:t>竞价编号：</w:t>
      </w:r>
      <w:r>
        <w:rPr>
          <w:rStyle w:val="26"/>
          <w:rFonts w:hint="eastAsia" w:ascii="宋体" w:hAnsi="宋体" w:cs="宋体"/>
          <w:color w:val="000000" w:themeColor="text1"/>
          <w:sz w:val="30"/>
          <w:szCs w:val="30"/>
          <w:u w:val="single" w:color="000000"/>
          <w14:textFill>
            <w14:solidFill>
              <w14:schemeClr w14:val="tx1"/>
            </w14:solidFill>
          </w14:textFill>
        </w:rPr>
        <w:t>(由竞价供应商填写)</w:t>
      </w:r>
    </w:p>
    <w:p w14:paraId="1900BD85">
      <w:pPr>
        <w:spacing w:line="360" w:lineRule="auto"/>
        <w:ind w:firstLine="600" w:firstLineChars="200"/>
        <w:jc w:val="left"/>
        <w:rPr>
          <w:rStyle w:val="26"/>
          <w:rFonts w:ascii="宋体" w:hAnsi="宋体" w:cs="宋体"/>
          <w:color w:val="000000" w:themeColor="text1"/>
          <w:sz w:val="30"/>
          <w:szCs w:val="30"/>
          <w:u w:val="single"/>
          <w14:textFill>
            <w14:solidFill>
              <w14:schemeClr w14:val="tx1"/>
            </w14:solidFill>
          </w14:textFill>
        </w:rPr>
      </w:pPr>
      <w:r>
        <w:rPr>
          <w:rStyle w:val="26"/>
          <w:rFonts w:hint="eastAsia" w:ascii="宋体" w:hAnsi="宋体" w:cs="宋体"/>
          <w:color w:val="000000" w:themeColor="text1"/>
          <w:sz w:val="30"/>
          <w:szCs w:val="30"/>
          <w14:textFill>
            <w14:solidFill>
              <w14:schemeClr w14:val="tx1"/>
            </w14:solidFill>
          </w14:textFill>
        </w:rPr>
        <w:t>项目名称：</w:t>
      </w:r>
      <w:r>
        <w:rPr>
          <w:rStyle w:val="26"/>
          <w:rFonts w:hint="eastAsia" w:ascii="宋体" w:hAnsi="宋体" w:cs="宋体"/>
          <w:color w:val="000000" w:themeColor="text1"/>
          <w:sz w:val="30"/>
          <w:szCs w:val="30"/>
          <w:u w:val="single" w:color="000000"/>
          <w14:textFill>
            <w14:solidFill>
              <w14:schemeClr w14:val="tx1"/>
            </w14:solidFill>
          </w14:textFill>
        </w:rPr>
        <w:t>(由竞价供应商填写)</w:t>
      </w:r>
    </w:p>
    <w:p w14:paraId="78A61638">
      <w:pPr>
        <w:spacing w:line="360" w:lineRule="auto"/>
        <w:ind w:firstLine="600" w:firstLineChars="200"/>
        <w:jc w:val="left"/>
        <w:rPr>
          <w:rStyle w:val="26"/>
          <w:rFonts w:ascii="宋体" w:hAnsi="宋体" w:cs="宋体"/>
          <w:color w:val="000000" w:themeColor="text1"/>
          <w:sz w:val="30"/>
          <w:szCs w:val="30"/>
          <w14:textFill>
            <w14:solidFill>
              <w14:schemeClr w14:val="tx1"/>
            </w14:solidFill>
          </w14:textFill>
        </w:rPr>
      </w:pPr>
      <w:r>
        <w:rPr>
          <w:rStyle w:val="26"/>
          <w:rFonts w:hint="eastAsia" w:ascii="宋体" w:hAnsi="宋体" w:cs="宋体"/>
          <w:color w:val="000000" w:themeColor="text1"/>
          <w:sz w:val="30"/>
          <w:szCs w:val="30"/>
          <w14:textFill>
            <w14:solidFill>
              <w14:schemeClr w14:val="tx1"/>
            </w14:solidFill>
          </w14:textFill>
        </w:rPr>
        <w:t>竞 价 人：</w:t>
      </w:r>
      <w:r>
        <w:rPr>
          <w:rStyle w:val="26"/>
          <w:rFonts w:hint="eastAsia" w:ascii="宋体" w:hAnsi="宋体" w:cs="宋体"/>
          <w:color w:val="000000" w:themeColor="text1"/>
          <w:sz w:val="30"/>
          <w:szCs w:val="30"/>
          <w:u w:val="single" w:color="000000"/>
          <w14:textFill>
            <w14:solidFill>
              <w14:schemeClr w14:val="tx1"/>
            </w14:solidFill>
          </w14:textFill>
        </w:rPr>
        <w:t>(由竞价供应商填写)</w:t>
      </w:r>
    </w:p>
    <w:p w14:paraId="7D0DF116">
      <w:pPr>
        <w:spacing w:line="360" w:lineRule="auto"/>
        <w:ind w:firstLine="600" w:firstLineChars="200"/>
        <w:jc w:val="left"/>
        <w:rPr>
          <w:rStyle w:val="26"/>
          <w:rFonts w:ascii="宋体" w:hAnsi="宋体" w:cs="宋体"/>
          <w:color w:val="000000" w:themeColor="text1"/>
          <w:sz w:val="30"/>
          <w:szCs w:val="30"/>
          <w14:textFill>
            <w14:solidFill>
              <w14:schemeClr w14:val="tx1"/>
            </w14:solidFill>
          </w14:textFill>
        </w:rPr>
      </w:pPr>
    </w:p>
    <w:p w14:paraId="22073460">
      <w:pPr>
        <w:spacing w:line="360" w:lineRule="auto"/>
        <w:ind w:firstLine="600" w:firstLineChars="200"/>
        <w:jc w:val="left"/>
        <w:rPr>
          <w:rStyle w:val="26"/>
          <w:rFonts w:ascii="宋体" w:hAnsi="宋体" w:cs="宋体"/>
          <w:color w:val="000000" w:themeColor="text1"/>
          <w:sz w:val="30"/>
          <w:szCs w:val="30"/>
          <w14:textFill>
            <w14:solidFill>
              <w14:schemeClr w14:val="tx1"/>
            </w14:solidFill>
          </w14:textFill>
        </w:rPr>
      </w:pPr>
      <w:r>
        <w:rPr>
          <w:rStyle w:val="26"/>
          <w:rFonts w:hint="eastAsia" w:ascii="宋体" w:hAnsi="宋体" w:cs="宋体"/>
          <w:color w:val="000000" w:themeColor="text1"/>
          <w:sz w:val="30"/>
          <w:szCs w:val="30"/>
          <w14:textFill>
            <w14:solidFill>
              <w14:schemeClr w14:val="tx1"/>
            </w14:solidFill>
          </w14:textFill>
        </w:rPr>
        <w:t>联系人及联系电话：</w:t>
      </w:r>
      <w:r>
        <w:rPr>
          <w:rStyle w:val="26"/>
          <w:rFonts w:hint="eastAsia" w:ascii="宋体" w:hAnsi="宋体" w:cs="宋体"/>
          <w:color w:val="000000" w:themeColor="text1"/>
          <w:sz w:val="30"/>
          <w:szCs w:val="30"/>
          <w:u w:val="single" w:color="000000"/>
          <w14:textFill>
            <w14:solidFill>
              <w14:schemeClr w14:val="tx1"/>
            </w14:solidFill>
          </w14:textFill>
        </w:rPr>
        <w:t>(由竞价供应商填写)</w:t>
      </w:r>
    </w:p>
    <w:p w14:paraId="307F3717">
      <w:pPr>
        <w:pStyle w:val="33"/>
        <w:spacing w:line="500" w:lineRule="exact"/>
        <w:rPr>
          <w:rStyle w:val="26"/>
          <w:rFonts w:ascii="宋体" w:hAnsi="宋体" w:cs="宋体"/>
          <w:color w:val="000000" w:themeColor="text1"/>
          <w:sz w:val="24"/>
          <w:szCs w:val="24"/>
          <w14:textFill>
            <w14:solidFill>
              <w14:schemeClr w14:val="tx1"/>
            </w14:solidFill>
          </w14:textFill>
        </w:rPr>
      </w:pPr>
    </w:p>
    <w:p w14:paraId="56721118">
      <w:pPr>
        <w:pStyle w:val="34"/>
        <w:spacing w:after="0" w:line="500" w:lineRule="exact"/>
        <w:rPr>
          <w:rStyle w:val="26"/>
          <w:rFonts w:ascii="宋体" w:hAnsi="宋体" w:cs="宋体"/>
          <w:color w:val="000000" w:themeColor="text1"/>
          <w:sz w:val="24"/>
          <w14:textFill>
            <w14:solidFill>
              <w14:schemeClr w14:val="tx1"/>
            </w14:solidFill>
          </w14:textFill>
        </w:rPr>
      </w:pPr>
    </w:p>
    <w:p w14:paraId="7E01EE7A">
      <w:pPr>
        <w:pStyle w:val="33"/>
        <w:spacing w:line="500" w:lineRule="exact"/>
        <w:rPr>
          <w:rStyle w:val="26"/>
          <w:rFonts w:ascii="宋体" w:hAnsi="宋体" w:cs="宋体"/>
          <w:color w:val="000000" w:themeColor="text1"/>
          <w:sz w:val="24"/>
          <w:szCs w:val="24"/>
          <w14:textFill>
            <w14:solidFill>
              <w14:schemeClr w14:val="tx1"/>
            </w14:solidFill>
          </w14:textFill>
        </w:rPr>
      </w:pPr>
    </w:p>
    <w:p w14:paraId="58D44D4A">
      <w:pPr>
        <w:pStyle w:val="34"/>
        <w:spacing w:after="0" w:line="500" w:lineRule="exact"/>
        <w:rPr>
          <w:rStyle w:val="26"/>
          <w:rFonts w:ascii="宋体" w:hAnsi="宋体" w:cs="宋体"/>
          <w:color w:val="000000" w:themeColor="text1"/>
          <w:sz w:val="24"/>
          <w14:textFill>
            <w14:solidFill>
              <w14:schemeClr w14:val="tx1"/>
            </w14:solidFill>
          </w14:textFill>
        </w:rPr>
      </w:pPr>
    </w:p>
    <w:p w14:paraId="3D36F90E">
      <w:pPr>
        <w:pStyle w:val="33"/>
        <w:spacing w:line="500" w:lineRule="exact"/>
        <w:rPr>
          <w:rStyle w:val="26"/>
          <w:rFonts w:ascii="宋体" w:hAnsi="宋体" w:cs="宋体"/>
          <w:color w:val="000000" w:themeColor="text1"/>
          <w:sz w:val="24"/>
          <w:szCs w:val="24"/>
          <w14:textFill>
            <w14:solidFill>
              <w14:schemeClr w14:val="tx1"/>
            </w14:solidFill>
          </w14:textFill>
        </w:rPr>
      </w:pPr>
    </w:p>
    <w:p w14:paraId="24E6DBF8">
      <w:pPr>
        <w:pStyle w:val="34"/>
        <w:spacing w:after="0" w:line="500" w:lineRule="exact"/>
        <w:rPr>
          <w:rStyle w:val="26"/>
          <w:rFonts w:ascii="宋体" w:hAnsi="宋体" w:cs="宋体"/>
          <w:color w:val="000000" w:themeColor="text1"/>
          <w:sz w:val="24"/>
          <w14:textFill>
            <w14:solidFill>
              <w14:schemeClr w14:val="tx1"/>
            </w14:solidFill>
          </w14:textFill>
        </w:rPr>
      </w:pPr>
    </w:p>
    <w:p w14:paraId="5C88410D">
      <w:pPr>
        <w:pStyle w:val="33"/>
        <w:spacing w:line="500" w:lineRule="exact"/>
        <w:rPr>
          <w:rStyle w:val="26"/>
          <w:rFonts w:ascii="宋体" w:hAnsi="宋体" w:cs="宋体"/>
          <w:color w:val="000000" w:themeColor="text1"/>
          <w:sz w:val="24"/>
          <w:szCs w:val="24"/>
          <w14:textFill>
            <w14:solidFill>
              <w14:schemeClr w14:val="tx1"/>
            </w14:solidFill>
          </w14:textFill>
        </w:rPr>
      </w:pPr>
    </w:p>
    <w:p w14:paraId="08C20ABF">
      <w:pPr>
        <w:pStyle w:val="34"/>
        <w:spacing w:after="0" w:line="500" w:lineRule="exact"/>
        <w:rPr>
          <w:rStyle w:val="26"/>
          <w:rFonts w:ascii="宋体" w:hAnsi="宋体" w:cs="宋体"/>
          <w:color w:val="000000" w:themeColor="text1"/>
          <w:sz w:val="24"/>
          <w14:textFill>
            <w14:solidFill>
              <w14:schemeClr w14:val="tx1"/>
            </w14:solidFill>
          </w14:textFill>
        </w:rPr>
      </w:pPr>
    </w:p>
    <w:p w14:paraId="71E2360B">
      <w:pPr>
        <w:pStyle w:val="33"/>
        <w:spacing w:line="500" w:lineRule="exact"/>
        <w:rPr>
          <w:rStyle w:val="26"/>
          <w:rFonts w:ascii="宋体" w:hAnsi="宋体" w:cs="宋体"/>
          <w:color w:val="000000" w:themeColor="text1"/>
          <w:sz w:val="24"/>
          <w:szCs w:val="24"/>
          <w14:textFill>
            <w14:solidFill>
              <w14:schemeClr w14:val="tx1"/>
            </w14:solidFill>
          </w14:textFill>
        </w:rPr>
      </w:pPr>
    </w:p>
    <w:p w14:paraId="7741F09C">
      <w:pPr>
        <w:pStyle w:val="34"/>
        <w:spacing w:after="0" w:line="500" w:lineRule="exact"/>
        <w:rPr>
          <w:rStyle w:val="26"/>
          <w:rFonts w:ascii="宋体" w:hAnsi="宋体" w:cs="宋体"/>
          <w:color w:val="000000" w:themeColor="text1"/>
          <w:sz w:val="24"/>
          <w14:textFill>
            <w14:solidFill>
              <w14:schemeClr w14:val="tx1"/>
            </w14:solidFill>
          </w14:textFill>
        </w:rPr>
      </w:pPr>
    </w:p>
    <w:p w14:paraId="2A28D865">
      <w:pPr>
        <w:pStyle w:val="64"/>
        <w:spacing w:line="500" w:lineRule="exact"/>
        <w:jc w:val="center"/>
        <w:rPr>
          <w:rStyle w:val="26"/>
          <w:rFonts w:hAnsi="宋体" w:cs="宋体"/>
          <w:b/>
          <w:color w:val="000000" w:themeColor="text1"/>
          <w:sz w:val="24"/>
          <w14:textFill>
            <w14:solidFill>
              <w14:schemeClr w14:val="tx1"/>
            </w14:solidFill>
          </w14:textFill>
        </w:rPr>
      </w:pPr>
    </w:p>
    <w:p w14:paraId="6EA0A419">
      <w:pPr>
        <w:spacing w:line="500" w:lineRule="exact"/>
        <w:jc w:val="left"/>
        <w:textAlignment w:val="auto"/>
        <w:rPr>
          <w:rStyle w:val="26"/>
          <w:rFonts w:ascii="宋体" w:hAnsi="宋体" w:cs="宋体"/>
          <w:b/>
          <w:color w:val="000000" w:themeColor="text1"/>
          <w:kern w:val="0"/>
          <w:sz w:val="24"/>
          <w14:textFill>
            <w14:solidFill>
              <w14:schemeClr w14:val="tx1"/>
            </w14:solidFill>
          </w14:textFill>
        </w:rPr>
      </w:pPr>
      <w:r>
        <w:rPr>
          <w:rStyle w:val="26"/>
          <w:rFonts w:hint="eastAsia" w:ascii="宋体" w:hAnsi="宋体" w:cs="宋体"/>
          <w:b/>
          <w:color w:val="000000" w:themeColor="text1"/>
          <w:sz w:val="24"/>
          <w14:textFill>
            <w14:solidFill>
              <w14:schemeClr w14:val="tx1"/>
            </w14:solidFill>
          </w14:textFill>
        </w:rPr>
        <w:br w:type="page"/>
      </w:r>
    </w:p>
    <w:p w14:paraId="42CBDE5C">
      <w:pPr>
        <w:pStyle w:val="64"/>
        <w:spacing w:line="500" w:lineRule="exact"/>
        <w:jc w:val="center"/>
        <w:rPr>
          <w:rStyle w:val="26"/>
          <w:rFonts w:hAnsi="宋体" w:cs="宋体"/>
          <w:b/>
          <w:color w:val="000000" w:themeColor="text1"/>
          <w:sz w:val="30"/>
          <w:szCs w:val="30"/>
          <w14:textFill>
            <w14:solidFill>
              <w14:schemeClr w14:val="tx1"/>
            </w14:solidFill>
          </w14:textFill>
        </w:rPr>
      </w:pPr>
      <w:r>
        <w:rPr>
          <w:rStyle w:val="26"/>
          <w:rFonts w:hint="eastAsia" w:hAnsi="宋体" w:cs="宋体"/>
          <w:b/>
          <w:color w:val="000000" w:themeColor="text1"/>
          <w:sz w:val="30"/>
          <w:szCs w:val="30"/>
          <w14:textFill>
            <w14:solidFill>
              <w14:schemeClr w14:val="tx1"/>
            </w14:solidFill>
          </w14:textFill>
        </w:rPr>
        <w:t>目录</w:t>
      </w:r>
    </w:p>
    <w:p w14:paraId="1F98DACB">
      <w:pPr>
        <w:pStyle w:val="64"/>
        <w:spacing w:line="500" w:lineRule="exact"/>
        <w:rPr>
          <w:rStyle w:val="26"/>
          <w:rFonts w:hAnsi="宋体" w:cs="宋体"/>
          <w:b/>
          <w:color w:val="000000" w:themeColor="text1"/>
          <w:sz w:val="24"/>
          <w14:textFill>
            <w14:solidFill>
              <w14:schemeClr w14:val="tx1"/>
            </w14:solidFill>
          </w14:textFill>
        </w:rPr>
      </w:pPr>
    </w:p>
    <w:p w14:paraId="6AA73CBB">
      <w:pPr>
        <w:pStyle w:val="64"/>
        <w:spacing w:line="500" w:lineRule="exact"/>
        <w:rPr>
          <w:rStyle w:val="26"/>
          <w:rFonts w:hAnsi="宋体" w:cs="宋体"/>
          <w:bCs/>
          <w:color w:val="000000" w:themeColor="text1"/>
          <w:sz w:val="24"/>
          <w14:textFill>
            <w14:solidFill>
              <w14:schemeClr w14:val="tx1"/>
            </w14:solidFill>
          </w14:textFill>
        </w:rPr>
      </w:pPr>
      <w:r>
        <w:rPr>
          <w:rStyle w:val="26"/>
          <w:rFonts w:hint="eastAsia" w:hAnsi="宋体" w:cs="宋体"/>
          <w:bCs/>
          <w:color w:val="000000" w:themeColor="text1"/>
          <w:sz w:val="24"/>
          <w14:textFill>
            <w14:solidFill>
              <w14:schemeClr w14:val="tx1"/>
            </w14:solidFill>
          </w14:textFill>
        </w:rPr>
        <w:t>1、法人营业执照</w:t>
      </w:r>
    </w:p>
    <w:p w14:paraId="6D266F5B">
      <w:pPr>
        <w:pStyle w:val="64"/>
        <w:spacing w:line="500" w:lineRule="exact"/>
        <w:rPr>
          <w:rStyle w:val="26"/>
          <w:rFonts w:hAnsi="宋体" w:cs="宋体"/>
          <w:bCs/>
          <w:color w:val="000000" w:themeColor="text1"/>
          <w:sz w:val="24"/>
          <w14:textFill>
            <w14:solidFill>
              <w14:schemeClr w14:val="tx1"/>
            </w14:solidFill>
          </w14:textFill>
        </w:rPr>
      </w:pPr>
      <w:r>
        <w:rPr>
          <w:rStyle w:val="26"/>
          <w:rFonts w:hint="eastAsia" w:hAnsi="宋体" w:cs="宋体"/>
          <w:bCs/>
          <w:color w:val="000000" w:themeColor="text1"/>
          <w:sz w:val="24"/>
          <w14:textFill>
            <w14:solidFill>
              <w14:schemeClr w14:val="tx1"/>
            </w14:solidFill>
          </w14:textFill>
        </w:rPr>
        <w:t>2、</w:t>
      </w:r>
      <w:r>
        <w:rPr>
          <w:rFonts w:hint="eastAsia" w:hAnsi="宋体" w:cs="宋体"/>
          <w:sz w:val="24"/>
        </w:rPr>
        <w:t>竞价承诺书</w:t>
      </w:r>
    </w:p>
    <w:p w14:paraId="536B2A36">
      <w:pPr>
        <w:pStyle w:val="64"/>
        <w:spacing w:line="500" w:lineRule="exact"/>
        <w:rPr>
          <w:rStyle w:val="26"/>
          <w:rFonts w:hAnsi="宋体" w:cs="宋体"/>
          <w:bCs/>
          <w:color w:val="000000" w:themeColor="text1"/>
          <w:sz w:val="24"/>
          <w14:textFill>
            <w14:solidFill>
              <w14:schemeClr w14:val="tx1"/>
            </w14:solidFill>
          </w14:textFill>
        </w:rPr>
      </w:pPr>
      <w:r>
        <w:rPr>
          <w:rStyle w:val="26"/>
          <w:rFonts w:hint="eastAsia" w:hAnsi="宋体" w:cs="宋体"/>
          <w:color w:val="000000" w:themeColor="text1"/>
          <w:sz w:val="24"/>
          <w14:textFill>
            <w14:solidFill>
              <w14:schemeClr w14:val="tx1"/>
            </w14:solidFill>
          </w14:textFill>
        </w:rPr>
        <w:t>3、竞价保证金凭证复印件</w:t>
      </w:r>
    </w:p>
    <w:p w14:paraId="31266C47">
      <w:pPr>
        <w:pStyle w:val="64"/>
        <w:spacing w:line="500" w:lineRule="exact"/>
        <w:rPr>
          <w:rStyle w:val="26"/>
          <w:rFonts w:hAnsi="宋体" w:cs="宋体"/>
          <w:bCs/>
          <w:color w:val="000000" w:themeColor="text1"/>
          <w:sz w:val="24"/>
          <w14:textFill>
            <w14:solidFill>
              <w14:schemeClr w14:val="tx1"/>
            </w14:solidFill>
          </w14:textFill>
        </w:rPr>
      </w:pPr>
      <w:r>
        <w:rPr>
          <w:rStyle w:val="26"/>
          <w:rFonts w:hint="eastAsia" w:hAnsi="宋体" w:cs="宋体"/>
          <w:bCs/>
          <w:color w:val="000000" w:themeColor="text1"/>
          <w:sz w:val="24"/>
          <w14:textFill>
            <w14:solidFill>
              <w14:schemeClr w14:val="tx1"/>
            </w14:solidFill>
          </w14:textFill>
        </w:rPr>
        <w:t>4、</w:t>
      </w:r>
      <w:r>
        <w:rPr>
          <w:rStyle w:val="26"/>
          <w:rFonts w:hint="eastAsia" w:hAnsi="宋体" w:cs="宋体"/>
          <w:color w:val="000000" w:themeColor="text1"/>
          <w:sz w:val="24"/>
          <w14:textFill>
            <w14:solidFill>
              <w14:schemeClr w14:val="tx1"/>
            </w14:solidFill>
          </w14:textFill>
        </w:rPr>
        <w:t>参加</w:t>
      </w:r>
      <w:r>
        <w:rPr>
          <w:rFonts w:hint="eastAsia" w:hAnsi="宋体"/>
          <w:sz w:val="24"/>
        </w:rPr>
        <w:t>采购活动前3年内</w:t>
      </w:r>
      <w:r>
        <w:rPr>
          <w:rStyle w:val="26"/>
          <w:rFonts w:hint="eastAsia" w:hAnsi="宋体" w:cs="宋体"/>
          <w:color w:val="000000" w:themeColor="text1"/>
          <w:sz w:val="24"/>
          <w14:textFill>
            <w14:solidFill>
              <w14:schemeClr w14:val="tx1"/>
            </w14:solidFill>
          </w14:textFill>
        </w:rPr>
        <w:t>无重大违法</w:t>
      </w:r>
      <w:r>
        <w:rPr>
          <w:rFonts w:hint="eastAsia" w:hAnsi="宋体" w:cs="宋体"/>
          <w:sz w:val="24"/>
        </w:rPr>
        <w:t>不良信用记录</w:t>
      </w:r>
    </w:p>
    <w:p w14:paraId="4AB3E871">
      <w:pPr>
        <w:pStyle w:val="64"/>
        <w:spacing w:line="500" w:lineRule="exact"/>
        <w:rPr>
          <w:rStyle w:val="26"/>
          <w:rFonts w:hAnsi="宋体" w:cs="宋体"/>
          <w:bCs/>
          <w:color w:val="000000" w:themeColor="text1"/>
          <w:sz w:val="24"/>
          <w14:textFill>
            <w14:solidFill>
              <w14:schemeClr w14:val="tx1"/>
            </w14:solidFill>
          </w14:textFill>
        </w:rPr>
      </w:pPr>
      <w:r>
        <w:rPr>
          <w:rStyle w:val="26"/>
          <w:rFonts w:hint="eastAsia" w:hAnsi="宋体" w:cs="宋体"/>
          <w:bCs/>
          <w:color w:val="000000" w:themeColor="text1"/>
          <w:sz w:val="24"/>
          <w14:textFill>
            <w14:solidFill>
              <w14:schemeClr w14:val="tx1"/>
            </w14:solidFill>
          </w14:textFill>
        </w:rPr>
        <w:t>5、技术商务响应一览表</w:t>
      </w:r>
    </w:p>
    <w:p w14:paraId="5EFC666D">
      <w:pPr>
        <w:pStyle w:val="64"/>
        <w:spacing w:line="500" w:lineRule="exact"/>
        <w:rPr>
          <w:rStyle w:val="26"/>
          <w:rFonts w:hAnsi="宋体" w:cs="宋体"/>
          <w:color w:val="000000" w:themeColor="text1"/>
          <w:sz w:val="24"/>
          <w14:textFill>
            <w14:solidFill>
              <w14:schemeClr w14:val="tx1"/>
            </w14:solidFill>
          </w14:textFill>
        </w:rPr>
      </w:pPr>
      <w:r>
        <w:rPr>
          <w:rStyle w:val="26"/>
          <w:rFonts w:hint="eastAsia" w:hAnsi="宋体" w:cs="宋体"/>
          <w:bCs/>
          <w:color w:val="000000" w:themeColor="text1"/>
          <w:sz w:val="24"/>
          <w14:textFill>
            <w14:solidFill>
              <w14:schemeClr w14:val="tx1"/>
            </w14:solidFill>
          </w14:textFill>
        </w:rPr>
        <w:t>6、竞价供应商需提供的其他材料</w:t>
      </w:r>
    </w:p>
    <w:p w14:paraId="03DED0EC">
      <w:pPr>
        <w:pStyle w:val="64"/>
        <w:spacing w:line="500" w:lineRule="exact"/>
        <w:rPr>
          <w:rStyle w:val="26"/>
          <w:rFonts w:hAnsi="宋体" w:cs="宋体"/>
          <w:color w:val="000000" w:themeColor="text1"/>
          <w:sz w:val="24"/>
          <w14:textFill>
            <w14:solidFill>
              <w14:schemeClr w14:val="tx1"/>
            </w14:solidFill>
          </w14:textFill>
        </w:rPr>
      </w:pPr>
    </w:p>
    <w:p w14:paraId="440A3C73">
      <w:pPr>
        <w:spacing w:line="500" w:lineRule="exact"/>
        <w:jc w:val="left"/>
        <w:textAlignment w:val="auto"/>
        <w:rPr>
          <w:rStyle w:val="26"/>
          <w:rFonts w:ascii="宋体" w:hAnsi="宋体" w:cs="宋体"/>
          <w:b/>
          <w:color w:val="000000" w:themeColor="text1"/>
          <w:sz w:val="24"/>
          <w14:textFill>
            <w14:solidFill>
              <w14:schemeClr w14:val="tx1"/>
            </w14:solidFill>
          </w14:textFill>
        </w:rPr>
      </w:pPr>
    </w:p>
    <w:p w14:paraId="2D27861A">
      <w:pPr>
        <w:spacing w:line="500" w:lineRule="exact"/>
        <w:jc w:val="left"/>
        <w:textAlignment w:val="auto"/>
        <w:rPr>
          <w:rStyle w:val="26"/>
          <w:rFonts w:ascii="宋体" w:hAnsi="宋体" w:cs="宋体"/>
          <w:b/>
          <w:color w:val="000000" w:themeColor="text1"/>
          <w:sz w:val="24"/>
          <w14:textFill>
            <w14:solidFill>
              <w14:schemeClr w14:val="tx1"/>
            </w14:solidFill>
          </w14:textFill>
        </w:rPr>
      </w:pPr>
      <w:r>
        <w:rPr>
          <w:rStyle w:val="26"/>
          <w:rFonts w:hint="eastAsia" w:ascii="宋体" w:hAnsi="宋体" w:cs="宋体"/>
          <w:b/>
          <w:color w:val="000000" w:themeColor="text1"/>
          <w:sz w:val="24"/>
          <w14:textFill>
            <w14:solidFill>
              <w14:schemeClr w14:val="tx1"/>
            </w14:solidFill>
          </w14:textFill>
        </w:rPr>
        <w:br w:type="page"/>
      </w:r>
    </w:p>
    <w:p w14:paraId="6247A8C1">
      <w:pPr>
        <w:pStyle w:val="50"/>
        <w:spacing w:before="0" w:beforeAutospacing="0" w:after="0" w:afterAutospacing="0" w:line="500" w:lineRule="exact"/>
        <w:jc w:val="center"/>
        <w:rPr>
          <w:rStyle w:val="26"/>
          <w:rFonts w:asciiTheme="majorEastAsia" w:hAnsiTheme="majorEastAsia" w:eastAsiaTheme="majorEastAsia"/>
          <w:b/>
          <w:color w:val="000000" w:themeColor="text1"/>
          <w:sz w:val="30"/>
          <w:szCs w:val="30"/>
          <w14:textFill>
            <w14:solidFill>
              <w14:schemeClr w14:val="tx1"/>
            </w14:solidFill>
          </w14:textFill>
        </w:rPr>
      </w:pPr>
      <w:r>
        <w:rPr>
          <w:rStyle w:val="26"/>
          <w:rFonts w:hint="eastAsia" w:asciiTheme="majorEastAsia" w:hAnsiTheme="majorEastAsia" w:eastAsiaTheme="majorEastAsia"/>
          <w:b/>
          <w:color w:val="000000" w:themeColor="text1"/>
          <w:sz w:val="30"/>
          <w:szCs w:val="30"/>
          <w14:textFill>
            <w14:solidFill>
              <w14:schemeClr w14:val="tx1"/>
            </w14:solidFill>
          </w14:textFill>
        </w:rPr>
        <w:t>1.营业执照</w:t>
      </w:r>
    </w:p>
    <w:p w14:paraId="41C448BA">
      <w:pPr>
        <w:spacing w:line="500" w:lineRule="exact"/>
        <w:rPr>
          <w:rStyle w:val="26"/>
          <w:rFonts w:ascii="宋体" w:hAnsi="宋体" w:cs="宋体"/>
          <w:color w:val="000000" w:themeColor="text1"/>
          <w:sz w:val="24"/>
          <w14:textFill>
            <w14:solidFill>
              <w14:schemeClr w14:val="tx1"/>
            </w14:solidFill>
          </w14:textFill>
        </w:rPr>
      </w:pPr>
    </w:p>
    <w:p w14:paraId="7E547196">
      <w:pPr>
        <w:spacing w:line="500" w:lineRule="exact"/>
        <w:rPr>
          <w:rStyle w:val="26"/>
          <w:rFonts w:ascii="宋体" w:hAnsi="宋体" w:cs="宋体"/>
          <w:color w:val="000000" w:themeColor="text1"/>
          <w:sz w:val="24"/>
          <w14:textFill>
            <w14:solidFill>
              <w14:schemeClr w14:val="tx1"/>
            </w14:solidFill>
          </w14:textFill>
        </w:rPr>
      </w:pPr>
      <w:r>
        <w:rPr>
          <w:rStyle w:val="26"/>
          <w:rFonts w:hint="eastAsia" w:ascii="宋体" w:hAnsi="宋体" w:cs="宋体"/>
          <w:color w:val="000000" w:themeColor="text1"/>
          <w:sz w:val="24"/>
          <w14:textFill>
            <w14:solidFill>
              <w14:schemeClr w14:val="tx1"/>
            </w14:solidFill>
          </w14:textFill>
        </w:rPr>
        <w:t>致：福州职业技术学院</w:t>
      </w:r>
    </w:p>
    <w:p w14:paraId="7E6E82AD">
      <w:pPr>
        <w:spacing w:line="500" w:lineRule="exact"/>
        <w:ind w:firstLine="480" w:firstLineChars="200"/>
        <w:rPr>
          <w:rStyle w:val="26"/>
          <w:rFonts w:ascii="宋体" w:hAnsi="宋体" w:cs="宋体"/>
          <w:color w:val="000000" w:themeColor="text1"/>
          <w:sz w:val="24"/>
          <w14:textFill>
            <w14:solidFill>
              <w14:schemeClr w14:val="tx1"/>
            </w14:solidFill>
          </w14:textFill>
        </w:rPr>
      </w:pPr>
      <w:r>
        <w:rPr>
          <w:rStyle w:val="26"/>
          <w:rFonts w:hint="eastAsia" w:ascii="宋体" w:hAnsi="宋体" w:cs="宋体"/>
          <w:color w:val="000000" w:themeColor="text1"/>
          <w:sz w:val="24"/>
          <w14:textFill>
            <w14:solidFill>
              <w14:schemeClr w14:val="tx1"/>
            </w14:solidFill>
          </w14:textFill>
        </w:rPr>
        <w:t>现附上由</w:t>
      </w:r>
      <w:r>
        <w:rPr>
          <w:rStyle w:val="26"/>
          <w:rFonts w:hint="eastAsia" w:ascii="宋体" w:hAnsi="宋体" w:cs="宋体"/>
          <w:color w:val="000000" w:themeColor="text1"/>
          <w:sz w:val="24"/>
          <w:u w:val="single" w:color="000000"/>
          <w14:textFill>
            <w14:solidFill>
              <w14:schemeClr w14:val="tx1"/>
            </w14:solidFill>
          </w14:textFill>
        </w:rPr>
        <w:t>(签发机关名称)</w:t>
      </w:r>
      <w:r>
        <w:rPr>
          <w:rStyle w:val="26"/>
          <w:rFonts w:hint="eastAsia" w:ascii="宋体" w:hAnsi="宋体" w:cs="宋体"/>
          <w:color w:val="000000" w:themeColor="text1"/>
          <w:sz w:val="24"/>
          <w14:textFill>
            <w14:solidFill>
              <w14:schemeClr w14:val="tx1"/>
            </w14:solidFill>
          </w14:textFill>
        </w:rPr>
        <w:t>签发的我方法人营业执照副本复印件上述证照真实有效，否则我方负全部责任。</w:t>
      </w:r>
    </w:p>
    <w:p w14:paraId="14CFF992">
      <w:pPr>
        <w:spacing w:line="500" w:lineRule="exact"/>
        <w:ind w:firstLine="480" w:firstLineChars="200"/>
        <w:rPr>
          <w:rStyle w:val="26"/>
          <w:rFonts w:ascii="宋体" w:hAnsi="宋体" w:cs="宋体"/>
          <w:color w:val="000000" w:themeColor="text1"/>
          <w:sz w:val="24"/>
          <w14:textFill>
            <w14:solidFill>
              <w14:schemeClr w14:val="tx1"/>
            </w14:solidFill>
          </w14:textFill>
        </w:rPr>
      </w:pPr>
    </w:p>
    <w:p w14:paraId="2B63181C">
      <w:pPr>
        <w:pStyle w:val="43"/>
        <w:spacing w:after="0" w:line="500" w:lineRule="exact"/>
        <w:ind w:firstLine="480" w:firstLineChars="200"/>
        <w:rPr>
          <w:rStyle w:val="26"/>
          <w:rFonts w:ascii="宋体" w:hAnsi="宋体" w:cs="宋体"/>
          <w:b/>
          <w:color w:val="000000" w:themeColor="text1"/>
          <w:sz w:val="24"/>
          <w14:textFill>
            <w14:solidFill>
              <w14:schemeClr w14:val="tx1"/>
            </w14:solidFill>
          </w14:textFill>
        </w:rPr>
      </w:pPr>
      <w:r>
        <w:rPr>
          <w:rStyle w:val="26"/>
          <w:rFonts w:hint="eastAsia" w:ascii="宋体" w:hAnsi="宋体" w:cs="宋体"/>
          <w:b/>
          <w:bCs/>
          <w:color w:val="000000" w:themeColor="text1"/>
          <w:sz w:val="24"/>
          <w14:textFill>
            <w14:solidFill>
              <w14:schemeClr w14:val="tx1"/>
            </w14:solidFill>
          </w14:textFill>
        </w:rPr>
        <w:t>★注意：营业执照、税务登记证均提供副本复印件，复印件必须内容完整、清晰、整洁，由竞价供应商加盖公章。(竞价供应商制表时应删去此段话)</w:t>
      </w:r>
    </w:p>
    <w:p w14:paraId="46AFFF32">
      <w:pPr>
        <w:pStyle w:val="36"/>
        <w:spacing w:beforeAutospacing="0" w:afterAutospacing="0" w:line="500" w:lineRule="exact"/>
        <w:rPr>
          <w:rStyle w:val="26"/>
          <w:rFonts w:cs="宋体"/>
          <w:color w:val="000000" w:themeColor="text1"/>
          <w:sz w:val="24"/>
          <w:szCs w:val="24"/>
          <w14:textFill>
            <w14:solidFill>
              <w14:schemeClr w14:val="tx1"/>
            </w14:solidFill>
          </w14:textFill>
        </w:rPr>
      </w:pPr>
    </w:p>
    <w:p w14:paraId="51975567">
      <w:pPr>
        <w:spacing w:line="500" w:lineRule="exact"/>
        <w:jc w:val="left"/>
        <w:rPr>
          <w:rStyle w:val="26"/>
          <w:rFonts w:ascii="宋体" w:hAnsi="宋体" w:cs="宋体"/>
          <w:color w:val="000000" w:themeColor="text1"/>
          <w:sz w:val="24"/>
          <w14:textFill>
            <w14:solidFill>
              <w14:schemeClr w14:val="tx1"/>
            </w14:solidFill>
          </w14:textFill>
        </w:rPr>
      </w:pPr>
      <w:r>
        <w:rPr>
          <w:rStyle w:val="26"/>
          <w:rFonts w:hint="eastAsia" w:ascii="宋体" w:hAnsi="宋体" w:cs="宋体"/>
          <w:color w:val="000000" w:themeColor="text1"/>
          <w:sz w:val="24"/>
          <w14:textFill>
            <w14:solidFill>
              <w14:schemeClr w14:val="tx1"/>
            </w14:solidFill>
          </w14:textFill>
        </w:rPr>
        <w:t>竞价供应商名称：</w:t>
      </w:r>
      <w:r>
        <w:rPr>
          <w:rStyle w:val="26"/>
          <w:rFonts w:hint="eastAsia" w:ascii="宋体" w:hAnsi="宋体" w:cs="宋体"/>
          <w:b/>
          <w:color w:val="000000" w:themeColor="text1"/>
          <w:sz w:val="24"/>
          <w14:textFill>
            <w14:solidFill>
              <w14:schemeClr w14:val="tx1"/>
            </w14:solidFill>
          </w14:textFill>
        </w:rPr>
        <w:t>(全称并加盖公章)</w:t>
      </w:r>
    </w:p>
    <w:p w14:paraId="03393CE8">
      <w:pPr>
        <w:tabs>
          <w:tab w:val="left" w:pos="5355"/>
        </w:tabs>
        <w:spacing w:line="500" w:lineRule="exact"/>
        <w:rPr>
          <w:rStyle w:val="26"/>
          <w:rFonts w:ascii="宋体" w:hAnsi="宋体" w:cs="宋体"/>
          <w:color w:val="000000" w:themeColor="text1"/>
          <w:sz w:val="24"/>
          <w14:textFill>
            <w14:solidFill>
              <w14:schemeClr w14:val="tx1"/>
            </w14:solidFill>
          </w14:textFill>
        </w:rPr>
      </w:pPr>
      <w:r>
        <w:rPr>
          <w:rStyle w:val="26"/>
          <w:rFonts w:hint="eastAsia" w:ascii="宋体" w:hAnsi="宋体" w:cs="宋体"/>
          <w:color w:val="000000" w:themeColor="text1"/>
          <w:sz w:val="24"/>
          <w14:textFill>
            <w14:solidFill>
              <w14:schemeClr w14:val="tx1"/>
            </w14:solidFill>
          </w14:textFill>
        </w:rPr>
        <w:t>日期：    年  月  日</w:t>
      </w:r>
    </w:p>
    <w:p w14:paraId="246B049D">
      <w:pPr>
        <w:spacing w:line="500" w:lineRule="exact"/>
        <w:rPr>
          <w:rStyle w:val="26"/>
          <w:rFonts w:ascii="宋体" w:hAnsi="宋体" w:cs="宋体"/>
          <w:color w:val="000000" w:themeColor="text1"/>
          <w:sz w:val="24"/>
          <w14:textFill>
            <w14:solidFill>
              <w14:schemeClr w14:val="tx1"/>
            </w14:solidFill>
          </w14:textFill>
        </w:rPr>
      </w:pPr>
    </w:p>
    <w:p w14:paraId="6F8F79A4">
      <w:pPr>
        <w:spacing w:line="500" w:lineRule="exact"/>
        <w:rPr>
          <w:rStyle w:val="26"/>
          <w:rFonts w:ascii="宋体" w:hAnsi="宋体" w:cs="宋体"/>
          <w:color w:val="000000" w:themeColor="text1"/>
          <w:sz w:val="24"/>
          <w14:textFill>
            <w14:solidFill>
              <w14:schemeClr w14:val="tx1"/>
            </w14:solidFill>
          </w14:textFill>
        </w:rPr>
      </w:pPr>
    </w:p>
    <w:p w14:paraId="372CB82F">
      <w:pPr>
        <w:spacing w:line="500" w:lineRule="exact"/>
        <w:rPr>
          <w:rStyle w:val="26"/>
          <w:rFonts w:ascii="宋体" w:hAnsi="宋体" w:cs="宋体"/>
          <w:color w:val="000000" w:themeColor="text1"/>
          <w:sz w:val="24"/>
          <w14:textFill>
            <w14:solidFill>
              <w14:schemeClr w14:val="tx1"/>
            </w14:solidFill>
          </w14:textFill>
        </w:rPr>
      </w:pPr>
    </w:p>
    <w:p w14:paraId="507AE9BD">
      <w:pPr>
        <w:spacing w:line="500" w:lineRule="exact"/>
        <w:jc w:val="center"/>
        <w:rPr>
          <w:rStyle w:val="26"/>
          <w:rFonts w:ascii="宋体" w:hAnsi="宋体" w:cs="宋体"/>
          <w:b/>
          <w:color w:val="000000" w:themeColor="text1"/>
          <w:sz w:val="24"/>
          <w14:textFill>
            <w14:solidFill>
              <w14:schemeClr w14:val="tx1"/>
            </w14:solidFill>
          </w14:textFill>
        </w:rPr>
      </w:pPr>
    </w:p>
    <w:p w14:paraId="03C2073F">
      <w:pPr>
        <w:spacing w:line="500" w:lineRule="exact"/>
        <w:jc w:val="center"/>
        <w:rPr>
          <w:rStyle w:val="26"/>
          <w:rFonts w:ascii="宋体" w:hAnsi="宋体" w:cs="宋体"/>
          <w:b/>
          <w:color w:val="000000" w:themeColor="text1"/>
          <w:sz w:val="30"/>
          <w:szCs w:val="30"/>
          <w14:textFill>
            <w14:solidFill>
              <w14:schemeClr w14:val="tx1"/>
            </w14:solidFill>
          </w14:textFill>
        </w:rPr>
      </w:pPr>
      <w:r>
        <w:rPr>
          <w:rStyle w:val="26"/>
          <w:rFonts w:hint="eastAsia" w:ascii="宋体" w:hAnsi="宋体" w:cs="宋体"/>
          <w:b/>
          <w:color w:val="000000" w:themeColor="text1"/>
          <w:sz w:val="30"/>
          <w:szCs w:val="30"/>
          <w14:textFill>
            <w14:solidFill>
              <w14:schemeClr w14:val="tx1"/>
            </w14:solidFill>
          </w14:textFill>
        </w:rPr>
        <w:t>营业执照复印件并加盖公章</w:t>
      </w:r>
    </w:p>
    <w:p w14:paraId="0842C279">
      <w:pPr>
        <w:pStyle w:val="36"/>
        <w:spacing w:beforeAutospacing="0" w:afterAutospacing="0" w:line="500" w:lineRule="exact"/>
        <w:rPr>
          <w:rStyle w:val="26"/>
          <w:rFonts w:cs="宋体"/>
          <w:color w:val="000000" w:themeColor="text1"/>
          <w:sz w:val="24"/>
          <w:szCs w:val="24"/>
          <w14:textFill>
            <w14:solidFill>
              <w14:schemeClr w14:val="tx1"/>
            </w14:solidFill>
          </w14:textFill>
        </w:rPr>
      </w:pPr>
    </w:p>
    <w:p w14:paraId="5E467F1D">
      <w:pPr>
        <w:spacing w:line="500" w:lineRule="exact"/>
        <w:rPr>
          <w:rStyle w:val="26"/>
          <w:rFonts w:ascii="宋体" w:hAnsi="宋体" w:cs="宋体"/>
          <w:color w:val="000000" w:themeColor="text1"/>
          <w:sz w:val="24"/>
          <w14:textFill>
            <w14:solidFill>
              <w14:schemeClr w14:val="tx1"/>
            </w14:solidFill>
          </w14:textFill>
        </w:rPr>
      </w:pPr>
    </w:p>
    <w:p w14:paraId="10DAEC83">
      <w:pPr>
        <w:pStyle w:val="36"/>
        <w:spacing w:beforeAutospacing="0" w:afterAutospacing="0" w:line="500" w:lineRule="exact"/>
        <w:rPr>
          <w:rStyle w:val="26"/>
          <w:rFonts w:cs="宋体"/>
          <w:color w:val="000000" w:themeColor="text1"/>
          <w:sz w:val="24"/>
          <w:szCs w:val="24"/>
          <w14:textFill>
            <w14:solidFill>
              <w14:schemeClr w14:val="tx1"/>
            </w14:solidFill>
          </w14:textFill>
        </w:rPr>
      </w:pPr>
    </w:p>
    <w:p w14:paraId="49D13E1B">
      <w:pPr>
        <w:spacing w:line="500" w:lineRule="exact"/>
        <w:rPr>
          <w:rStyle w:val="26"/>
          <w:rFonts w:ascii="宋体" w:hAnsi="宋体" w:cs="宋体"/>
          <w:color w:val="000000" w:themeColor="text1"/>
          <w:sz w:val="24"/>
          <w14:textFill>
            <w14:solidFill>
              <w14:schemeClr w14:val="tx1"/>
            </w14:solidFill>
          </w14:textFill>
        </w:rPr>
      </w:pPr>
    </w:p>
    <w:p w14:paraId="46E75B99">
      <w:pPr>
        <w:pStyle w:val="36"/>
        <w:spacing w:beforeAutospacing="0" w:afterAutospacing="0" w:line="500" w:lineRule="exact"/>
        <w:rPr>
          <w:rStyle w:val="26"/>
          <w:rFonts w:cs="宋体"/>
          <w:color w:val="000000" w:themeColor="text1"/>
          <w:sz w:val="24"/>
          <w:szCs w:val="24"/>
          <w14:textFill>
            <w14:solidFill>
              <w14:schemeClr w14:val="tx1"/>
            </w14:solidFill>
          </w14:textFill>
        </w:rPr>
      </w:pPr>
    </w:p>
    <w:p w14:paraId="1E2F3374">
      <w:pPr>
        <w:spacing w:line="500" w:lineRule="exact"/>
        <w:rPr>
          <w:rStyle w:val="26"/>
          <w:rFonts w:ascii="宋体" w:hAnsi="宋体" w:cs="宋体"/>
          <w:color w:val="000000" w:themeColor="text1"/>
          <w:sz w:val="24"/>
          <w14:textFill>
            <w14:solidFill>
              <w14:schemeClr w14:val="tx1"/>
            </w14:solidFill>
          </w14:textFill>
        </w:rPr>
      </w:pPr>
    </w:p>
    <w:p w14:paraId="485D6DDB">
      <w:pPr>
        <w:pStyle w:val="36"/>
        <w:spacing w:beforeAutospacing="0" w:afterAutospacing="0" w:line="500" w:lineRule="exact"/>
        <w:rPr>
          <w:rStyle w:val="26"/>
          <w:rFonts w:cs="宋体"/>
          <w:color w:val="000000" w:themeColor="text1"/>
          <w:sz w:val="24"/>
          <w:szCs w:val="24"/>
          <w14:textFill>
            <w14:solidFill>
              <w14:schemeClr w14:val="tx1"/>
            </w14:solidFill>
          </w14:textFill>
        </w:rPr>
      </w:pPr>
    </w:p>
    <w:p w14:paraId="35ABF106">
      <w:pPr>
        <w:spacing w:line="500" w:lineRule="exact"/>
        <w:rPr>
          <w:rStyle w:val="26"/>
          <w:rFonts w:ascii="宋体" w:hAnsi="宋体" w:cs="宋体"/>
          <w:color w:val="000000" w:themeColor="text1"/>
          <w:sz w:val="24"/>
          <w14:textFill>
            <w14:solidFill>
              <w14:schemeClr w14:val="tx1"/>
            </w14:solidFill>
          </w14:textFill>
        </w:rPr>
      </w:pPr>
    </w:p>
    <w:p w14:paraId="0BBB2AD0">
      <w:pPr>
        <w:pStyle w:val="36"/>
        <w:spacing w:beforeAutospacing="0" w:afterAutospacing="0" w:line="500" w:lineRule="exact"/>
        <w:rPr>
          <w:rStyle w:val="26"/>
          <w:rFonts w:cs="宋体"/>
          <w:color w:val="000000" w:themeColor="text1"/>
          <w:sz w:val="24"/>
          <w:szCs w:val="24"/>
          <w14:textFill>
            <w14:solidFill>
              <w14:schemeClr w14:val="tx1"/>
            </w14:solidFill>
          </w14:textFill>
        </w:rPr>
      </w:pPr>
    </w:p>
    <w:p w14:paraId="02ACC0C7">
      <w:pPr>
        <w:spacing w:line="500" w:lineRule="exact"/>
        <w:rPr>
          <w:rStyle w:val="26"/>
          <w:rFonts w:ascii="宋体" w:hAnsi="宋体" w:cs="宋体"/>
          <w:color w:val="000000" w:themeColor="text1"/>
          <w:sz w:val="24"/>
          <w14:textFill>
            <w14:solidFill>
              <w14:schemeClr w14:val="tx1"/>
            </w14:solidFill>
          </w14:textFill>
        </w:rPr>
      </w:pPr>
    </w:p>
    <w:p w14:paraId="7AA74637">
      <w:pPr>
        <w:pStyle w:val="36"/>
        <w:spacing w:beforeAutospacing="0" w:afterAutospacing="0" w:line="500" w:lineRule="exact"/>
        <w:rPr>
          <w:rStyle w:val="26"/>
          <w:rFonts w:cs="宋体"/>
          <w:color w:val="000000" w:themeColor="text1"/>
          <w:sz w:val="24"/>
          <w:szCs w:val="24"/>
          <w14:textFill>
            <w14:solidFill>
              <w14:schemeClr w14:val="tx1"/>
            </w14:solidFill>
          </w14:textFill>
        </w:rPr>
      </w:pPr>
    </w:p>
    <w:p w14:paraId="3C9187A5">
      <w:pPr>
        <w:spacing w:line="500" w:lineRule="exact"/>
        <w:rPr>
          <w:rStyle w:val="26"/>
          <w:rFonts w:ascii="宋体" w:hAnsi="宋体" w:cs="宋体"/>
          <w:color w:val="000000" w:themeColor="text1"/>
          <w:sz w:val="24"/>
          <w14:textFill>
            <w14:solidFill>
              <w14:schemeClr w14:val="tx1"/>
            </w14:solidFill>
          </w14:textFill>
        </w:rPr>
      </w:pPr>
    </w:p>
    <w:p w14:paraId="65B20BFC">
      <w:pPr>
        <w:pStyle w:val="50"/>
        <w:spacing w:before="0" w:beforeAutospacing="0" w:after="0" w:afterAutospacing="0" w:line="500" w:lineRule="exact"/>
        <w:jc w:val="center"/>
        <w:rPr>
          <w:rStyle w:val="26"/>
          <w:rFonts w:asciiTheme="majorEastAsia" w:hAnsiTheme="majorEastAsia" w:eastAsiaTheme="majorEastAsia"/>
          <w:b/>
          <w:color w:val="000000" w:themeColor="text1"/>
          <w:sz w:val="30"/>
          <w:szCs w:val="30"/>
          <w14:textFill>
            <w14:solidFill>
              <w14:schemeClr w14:val="tx1"/>
            </w14:solidFill>
          </w14:textFill>
        </w:rPr>
      </w:pPr>
      <w:r>
        <w:rPr>
          <w:rStyle w:val="26"/>
          <w:rFonts w:cs="宋体"/>
          <w:b/>
          <w:color w:val="000000" w:themeColor="text1"/>
          <w:sz w:val="30"/>
          <w:szCs w:val="30"/>
          <w14:textFill>
            <w14:solidFill>
              <w14:schemeClr w14:val="tx1"/>
            </w14:solidFill>
          </w14:textFill>
        </w:rPr>
        <w:br w:type="page"/>
      </w:r>
      <w:r>
        <w:rPr>
          <w:rStyle w:val="26"/>
          <w:rFonts w:hint="eastAsia" w:asciiTheme="majorEastAsia" w:hAnsiTheme="majorEastAsia" w:eastAsiaTheme="majorEastAsia"/>
          <w:b/>
          <w:color w:val="000000" w:themeColor="text1"/>
          <w:sz w:val="30"/>
          <w:szCs w:val="30"/>
          <w14:textFill>
            <w14:solidFill>
              <w14:schemeClr w14:val="tx1"/>
            </w14:solidFill>
          </w14:textFill>
        </w:rPr>
        <w:t>2.</w:t>
      </w:r>
      <w:r>
        <w:rPr>
          <w:rFonts w:hint="eastAsia" w:asciiTheme="majorEastAsia" w:hAnsiTheme="majorEastAsia" w:eastAsiaTheme="majorEastAsia"/>
          <w:b/>
          <w:color w:val="000000" w:themeColor="text1"/>
          <w:sz w:val="30"/>
          <w:szCs w:val="30"/>
          <w14:textFill>
            <w14:solidFill>
              <w14:schemeClr w14:val="tx1"/>
            </w14:solidFill>
          </w14:textFill>
        </w:rPr>
        <w:t>竞价承诺书</w:t>
      </w:r>
    </w:p>
    <w:p w14:paraId="0BE1B2DD">
      <w:pPr>
        <w:spacing w:line="500" w:lineRule="exact"/>
        <w:jc w:val="center"/>
        <w:rPr>
          <w:rFonts w:asciiTheme="majorEastAsia" w:hAnsiTheme="majorEastAsia" w:eastAsiaTheme="majorEastAsia"/>
          <w:sz w:val="24"/>
        </w:rPr>
      </w:pPr>
    </w:p>
    <w:p w14:paraId="0EF0B4D4">
      <w:pPr>
        <w:spacing w:line="500" w:lineRule="exact"/>
        <w:rPr>
          <w:rFonts w:asciiTheme="majorEastAsia" w:hAnsiTheme="majorEastAsia" w:eastAsiaTheme="majorEastAsia"/>
          <w:sz w:val="24"/>
        </w:rPr>
      </w:pPr>
      <w:r>
        <w:rPr>
          <w:rFonts w:hint="eastAsia" w:asciiTheme="majorEastAsia" w:hAnsiTheme="majorEastAsia" w:eastAsiaTheme="majorEastAsia"/>
          <w:sz w:val="24"/>
        </w:rPr>
        <w:t>致：福建国诚招标有限公司</w:t>
      </w:r>
    </w:p>
    <w:p w14:paraId="4257247E">
      <w:pPr>
        <w:spacing w:line="500" w:lineRule="exact"/>
        <w:ind w:firstLine="480"/>
        <w:rPr>
          <w:rFonts w:asciiTheme="majorEastAsia" w:hAnsiTheme="majorEastAsia" w:eastAsiaTheme="majorEastAsia"/>
          <w:sz w:val="24"/>
        </w:rPr>
      </w:pPr>
      <w:r>
        <w:rPr>
          <w:rFonts w:cs="Arial" w:asciiTheme="majorEastAsia" w:hAnsiTheme="majorEastAsia" w:eastAsiaTheme="majorEastAsia"/>
          <w:color w:val="000000"/>
          <w:sz w:val="24"/>
        </w:rPr>
        <w:t>根据贵</w:t>
      </w:r>
      <w:r>
        <w:rPr>
          <w:rFonts w:hint="eastAsia" w:cs="Arial" w:asciiTheme="majorEastAsia" w:hAnsiTheme="majorEastAsia" w:eastAsiaTheme="majorEastAsia"/>
          <w:color w:val="000000"/>
          <w:sz w:val="24"/>
        </w:rPr>
        <w:t>公司关于</w:t>
      </w:r>
      <w:r>
        <w:rPr>
          <w:rFonts w:hint="eastAsia" w:cs="Arial" w:asciiTheme="majorEastAsia" w:hAnsiTheme="majorEastAsia" w:eastAsiaTheme="majorEastAsia"/>
          <w:color w:val="000000"/>
          <w:sz w:val="24"/>
          <w:u w:val="single"/>
        </w:rPr>
        <w:t xml:space="preserve">                            </w:t>
      </w:r>
      <w:r>
        <w:rPr>
          <w:rFonts w:cs="Arial" w:asciiTheme="majorEastAsia" w:hAnsiTheme="majorEastAsia" w:eastAsiaTheme="majorEastAsia"/>
          <w:sz w:val="24"/>
          <w:u w:val="single"/>
        </w:rPr>
        <w:t xml:space="preserve"> </w:t>
      </w:r>
      <w:r>
        <w:rPr>
          <w:rFonts w:hint="eastAsia" w:cs="Arial" w:asciiTheme="majorEastAsia" w:hAnsiTheme="majorEastAsia" w:eastAsiaTheme="majorEastAsia"/>
          <w:color w:val="000000"/>
          <w:sz w:val="24"/>
        </w:rPr>
        <w:t>网上竞价</w:t>
      </w:r>
      <w:r>
        <w:rPr>
          <w:rFonts w:cs="Arial" w:asciiTheme="majorEastAsia" w:hAnsiTheme="majorEastAsia" w:eastAsiaTheme="majorEastAsia"/>
          <w:color w:val="000000"/>
          <w:sz w:val="24"/>
        </w:rPr>
        <w:t>项目及服务的</w:t>
      </w:r>
      <w:r>
        <w:rPr>
          <w:rFonts w:hint="eastAsia" w:asciiTheme="majorEastAsia" w:hAnsiTheme="majorEastAsia" w:eastAsiaTheme="majorEastAsia"/>
          <w:sz w:val="24"/>
        </w:rPr>
        <w:t>公告</w:t>
      </w:r>
      <w:r>
        <w:rPr>
          <w:rFonts w:hint="eastAsia" w:asciiTheme="majorEastAsia" w:hAnsiTheme="majorEastAsia" w:eastAsiaTheme="majorEastAsia"/>
          <w:color w:val="000000"/>
          <w:sz w:val="24"/>
        </w:rPr>
        <w:t xml:space="preserve">（项目编号）: </w:t>
      </w:r>
      <w:r>
        <w:rPr>
          <w:rFonts w:hint="eastAsia" w:asciiTheme="majorEastAsia" w:hAnsiTheme="majorEastAsia" w:eastAsiaTheme="majorEastAsia"/>
          <w:color w:val="000000"/>
          <w:sz w:val="24"/>
          <w:u w:val="single"/>
        </w:rPr>
        <w:t xml:space="preserve">             </w:t>
      </w:r>
      <w:r>
        <w:rPr>
          <w:rFonts w:cs="Arial" w:asciiTheme="majorEastAsia" w:hAnsiTheme="majorEastAsia" w:eastAsiaTheme="majorEastAsia"/>
          <w:color w:val="000000"/>
          <w:sz w:val="24"/>
        </w:rPr>
        <w:t>，</w:t>
      </w:r>
      <w:r>
        <w:rPr>
          <w:rFonts w:hint="eastAsia" w:asciiTheme="majorEastAsia" w:hAnsiTheme="majorEastAsia" w:eastAsiaTheme="majorEastAsia"/>
          <w:color w:val="000000"/>
          <w:sz w:val="24"/>
        </w:rPr>
        <w:t>本签字代表</w:t>
      </w:r>
      <w:r>
        <w:rPr>
          <w:rFonts w:hint="eastAsia" w:asciiTheme="majorEastAsia" w:hAnsiTheme="majorEastAsia" w:eastAsiaTheme="majorEastAsia"/>
          <w:color w:val="000000"/>
          <w:sz w:val="24"/>
          <w:u w:val="single"/>
        </w:rPr>
        <w:t>（          ）</w:t>
      </w:r>
      <w:r>
        <w:rPr>
          <w:rFonts w:cs="Arial" w:asciiTheme="majorEastAsia" w:hAnsiTheme="majorEastAsia" w:eastAsiaTheme="majorEastAsia"/>
          <w:color w:val="000000"/>
          <w:sz w:val="24"/>
        </w:rPr>
        <w:t>经正式授权并代表竞价方</w:t>
      </w:r>
      <w:r>
        <w:rPr>
          <w:rFonts w:hint="eastAsia" w:cs="Arial" w:asciiTheme="majorEastAsia" w:hAnsiTheme="majorEastAsia" w:eastAsiaTheme="majorEastAsia"/>
          <w:color w:val="000000"/>
          <w:sz w:val="24"/>
          <w:u w:val="single"/>
        </w:rPr>
        <w:t xml:space="preserve"> </w:t>
      </w:r>
      <w:r>
        <w:rPr>
          <w:rFonts w:hint="eastAsia" w:asciiTheme="majorEastAsia" w:hAnsiTheme="majorEastAsia" w:eastAsiaTheme="majorEastAsia"/>
          <w:color w:val="000000"/>
          <w:sz w:val="24"/>
          <w:u w:val="single"/>
        </w:rPr>
        <w:t xml:space="preserve">                                                     ）</w:t>
      </w:r>
      <w:r>
        <w:rPr>
          <w:rFonts w:hint="eastAsia" w:cs="Arial" w:asciiTheme="majorEastAsia" w:hAnsiTheme="majorEastAsia" w:eastAsiaTheme="majorEastAsia"/>
          <w:sz w:val="24"/>
        </w:rPr>
        <w:t>参与贵方组织的本次网上竞价活动，</w:t>
      </w:r>
      <w:r>
        <w:rPr>
          <w:rFonts w:hint="eastAsia" w:asciiTheme="majorEastAsia" w:hAnsiTheme="majorEastAsia" w:eastAsiaTheme="majorEastAsia"/>
          <w:sz w:val="24"/>
        </w:rPr>
        <w:t>我公司郑重承诺：</w:t>
      </w:r>
    </w:p>
    <w:p w14:paraId="7F218215">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一、我司将在网上竞价截止时间前一天提交网上竞价要求的所有原件的复印件，保证提供真实、合法、有效的资格证明材料，将竞价保证金3000元以转账方式在网上竞价截止时间前一天汇达指定账户，并承诺绝无作弊垄断或借用证明、提供虚假资料、串通哄抬报价等不法事情。</w:t>
      </w:r>
    </w:p>
    <w:p w14:paraId="3BB741BE">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二、我司将按照</w:t>
      </w:r>
      <w:r>
        <w:rPr>
          <w:rFonts w:hint="eastAsia" w:cs="Arial" w:asciiTheme="majorEastAsia" w:hAnsiTheme="majorEastAsia" w:eastAsiaTheme="majorEastAsia"/>
          <w:color w:val="000000"/>
          <w:sz w:val="24"/>
        </w:rPr>
        <w:t>竞价</w:t>
      </w:r>
      <w:r>
        <w:rPr>
          <w:rFonts w:cs="Arial" w:asciiTheme="majorEastAsia" w:hAnsiTheme="majorEastAsia" w:eastAsiaTheme="majorEastAsia"/>
          <w:color w:val="000000"/>
          <w:sz w:val="24"/>
        </w:rPr>
        <w:t>项目及服务的</w:t>
      </w:r>
      <w:r>
        <w:rPr>
          <w:rFonts w:hint="eastAsia" w:asciiTheme="majorEastAsia" w:hAnsiTheme="majorEastAsia" w:eastAsiaTheme="majorEastAsia"/>
          <w:sz w:val="24"/>
        </w:rPr>
        <w:t>公告要求和竞价报价文件的承诺，及时与</w:t>
      </w:r>
      <w:r>
        <w:rPr>
          <w:rFonts w:hint="eastAsia" w:asciiTheme="majorEastAsia" w:hAnsiTheme="majorEastAsia" w:eastAsiaTheme="majorEastAsia"/>
          <w:sz w:val="24"/>
          <w:lang w:val="en-US" w:eastAsia="zh-CN"/>
        </w:rPr>
        <w:t>采购人</w:t>
      </w:r>
      <w:r>
        <w:rPr>
          <w:rFonts w:hint="eastAsia" w:asciiTheme="majorEastAsia" w:hAnsiTheme="majorEastAsia" w:eastAsiaTheme="majorEastAsia"/>
          <w:sz w:val="24"/>
        </w:rPr>
        <w:t>签订供货合同，按竞价报价文件承诺的价格及时向采购单位提供全新货物，货物及有关服务符合中华人民共和国的设计和制造生产或行业标准。</w:t>
      </w:r>
    </w:p>
    <w:p w14:paraId="67FA6FE7">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三、本项目竞价公告、竞价方的竞价报价文件包括对售后服务的承诺对我公司具有同等约束力。</w:t>
      </w:r>
    </w:p>
    <w:p w14:paraId="7559DB9E">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四、获得竞价供货资格后若无法按约定条款履行义务或有拆、换设备及零件，贵方有权取消我方竞价供货资格，接受政府采购有关法规对我方的处罚。</w:t>
      </w:r>
    </w:p>
    <w:p w14:paraId="79CD41EE">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五、我方同意提供按照贵方可能要求的与其竞价有关的一切数据或资料。完全理解贵方不一定要接受收到的任何竞价。</w:t>
      </w:r>
    </w:p>
    <w:p w14:paraId="3B4F5C1F">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六、若本次采购货物</w:t>
      </w:r>
      <w:r>
        <w:rPr>
          <w:rFonts w:asciiTheme="majorEastAsia" w:hAnsiTheme="majorEastAsia" w:eastAsiaTheme="majorEastAsia"/>
          <w:sz w:val="24"/>
        </w:rPr>
        <w:t>属</w:t>
      </w:r>
      <w:r>
        <w:rPr>
          <w:rFonts w:hint="eastAsia" w:asciiTheme="majorEastAsia" w:hAnsiTheme="majorEastAsia" w:eastAsiaTheme="majorEastAsia"/>
          <w:sz w:val="24"/>
        </w:rPr>
        <w:t>于</w:t>
      </w:r>
      <w:r>
        <w:rPr>
          <w:rFonts w:asciiTheme="majorEastAsia" w:hAnsiTheme="majorEastAsia" w:eastAsiaTheme="majorEastAsia"/>
          <w:sz w:val="24"/>
        </w:rPr>
        <w:t>政府强制采购节能产品的（节能产品政府采购清单目录中加</w:t>
      </w:r>
      <w:r>
        <w:rPr>
          <w:rFonts w:hint="eastAsia" w:asciiTheme="majorEastAsia" w:hAnsiTheme="majorEastAsia" w:eastAsiaTheme="majorEastAsia"/>
          <w:sz w:val="24"/>
        </w:rPr>
        <w:t>★</w:t>
      </w:r>
      <w:r>
        <w:rPr>
          <w:rFonts w:asciiTheme="majorEastAsia" w:hAnsiTheme="majorEastAsia" w:eastAsiaTheme="majorEastAsia"/>
          <w:sz w:val="24"/>
        </w:rPr>
        <w:t>号的）</w:t>
      </w:r>
      <w:r>
        <w:rPr>
          <w:rFonts w:hint="eastAsia" w:asciiTheme="majorEastAsia" w:hAnsiTheme="majorEastAsia" w:eastAsiaTheme="majorEastAsia"/>
          <w:sz w:val="24"/>
        </w:rPr>
        <w:t>，我方将提供</w:t>
      </w:r>
      <w:r>
        <w:rPr>
          <w:rFonts w:asciiTheme="majorEastAsia" w:hAnsiTheme="majorEastAsia" w:eastAsiaTheme="majorEastAsia"/>
          <w:sz w:val="24"/>
        </w:rPr>
        <w:t>《节能产品政府采购清单》内</w:t>
      </w:r>
      <w:r>
        <w:rPr>
          <w:rFonts w:hint="eastAsia" w:asciiTheme="majorEastAsia" w:hAnsiTheme="majorEastAsia" w:eastAsiaTheme="majorEastAsia"/>
          <w:sz w:val="24"/>
        </w:rPr>
        <w:t>的</w:t>
      </w:r>
      <w:r>
        <w:rPr>
          <w:rFonts w:asciiTheme="majorEastAsia" w:hAnsiTheme="majorEastAsia" w:eastAsiaTheme="majorEastAsia"/>
          <w:sz w:val="24"/>
        </w:rPr>
        <w:t>产品</w:t>
      </w:r>
      <w:r>
        <w:rPr>
          <w:rFonts w:hint="eastAsia" w:asciiTheme="majorEastAsia" w:hAnsiTheme="majorEastAsia" w:eastAsiaTheme="majorEastAsia"/>
          <w:sz w:val="24"/>
        </w:rPr>
        <w:t>参与网上竞价，并保证所提供的货物在提供给采购单位前具有完全的所有权，采购单位在中华人民共和国使用该货物或货物的任何一部分时，免受第三方提出的包括但不限于侵犯其专利权、商标权、工业设计权等知识产权和抵押权在内的担保物权的起诉，</w:t>
      </w:r>
      <w:r>
        <w:rPr>
          <w:rFonts w:asciiTheme="majorEastAsia" w:hAnsiTheme="majorEastAsia" w:eastAsiaTheme="majorEastAsia"/>
          <w:sz w:val="24"/>
        </w:rPr>
        <w:t>否则</w:t>
      </w:r>
      <w:r>
        <w:rPr>
          <w:rFonts w:hint="eastAsia" w:asciiTheme="majorEastAsia" w:hAnsiTheme="majorEastAsia" w:eastAsiaTheme="majorEastAsia"/>
          <w:sz w:val="24"/>
        </w:rPr>
        <w:t>同意我方的竞价</w:t>
      </w:r>
      <w:r>
        <w:rPr>
          <w:rFonts w:asciiTheme="majorEastAsia" w:hAnsiTheme="majorEastAsia" w:eastAsiaTheme="majorEastAsia"/>
          <w:sz w:val="24"/>
        </w:rPr>
        <w:t>视为无效报价。</w:t>
      </w:r>
    </w:p>
    <w:p w14:paraId="5CD43CAB">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七、我司承诺所提供的货物具有行政主管部门颁发的资质证书或国家有关部门的产品《检验报告》。货物到货验收时，将提供设备的产品合格证、质量保证文件，并按</w:t>
      </w:r>
      <w:r>
        <w:rPr>
          <w:rFonts w:hint="eastAsia" w:cs="Arial" w:asciiTheme="majorEastAsia" w:hAnsiTheme="majorEastAsia" w:eastAsiaTheme="majorEastAsia"/>
          <w:color w:val="000000"/>
          <w:sz w:val="24"/>
        </w:rPr>
        <w:t>网上竞价</w:t>
      </w:r>
      <w:r>
        <w:rPr>
          <w:rFonts w:cs="Arial" w:asciiTheme="majorEastAsia" w:hAnsiTheme="majorEastAsia" w:eastAsiaTheme="majorEastAsia"/>
          <w:color w:val="000000"/>
          <w:sz w:val="24"/>
        </w:rPr>
        <w:t>项目及服务的</w:t>
      </w:r>
      <w:r>
        <w:rPr>
          <w:rFonts w:hint="eastAsia" w:asciiTheme="majorEastAsia" w:hAnsiTheme="majorEastAsia" w:eastAsiaTheme="majorEastAsia"/>
          <w:sz w:val="24"/>
        </w:rPr>
        <w:t>公告要求和本公司竞价报价文件承诺提供优质的售后服务。</w:t>
      </w:r>
    </w:p>
    <w:p w14:paraId="147494CE">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八、我司获得竞价供货资格后，将严格按照合同的规定做好各项技术和售前、售中、售后服务，保证24小时的联系畅通（联系人：           ，联系电话：              ），按照</w:t>
      </w:r>
      <w:r>
        <w:rPr>
          <w:rFonts w:hint="eastAsia" w:cs="Arial" w:asciiTheme="majorEastAsia" w:hAnsiTheme="majorEastAsia" w:eastAsiaTheme="majorEastAsia"/>
          <w:color w:val="000000"/>
          <w:sz w:val="24"/>
        </w:rPr>
        <w:t>网上竞价</w:t>
      </w:r>
      <w:r>
        <w:rPr>
          <w:rFonts w:cs="Arial" w:asciiTheme="majorEastAsia" w:hAnsiTheme="majorEastAsia" w:eastAsiaTheme="majorEastAsia"/>
          <w:color w:val="000000"/>
          <w:sz w:val="24"/>
        </w:rPr>
        <w:t>项目及服务的</w:t>
      </w:r>
      <w:r>
        <w:rPr>
          <w:rFonts w:hint="eastAsia" w:asciiTheme="majorEastAsia" w:hAnsiTheme="majorEastAsia" w:eastAsiaTheme="majorEastAsia"/>
          <w:sz w:val="24"/>
        </w:rPr>
        <w:t>公告要求提供合格的设备进行安装、调试服务，并达到验收标准。对</w:t>
      </w:r>
      <w:r>
        <w:rPr>
          <w:rFonts w:hint="eastAsia" w:asciiTheme="majorEastAsia" w:hAnsiTheme="majorEastAsia" w:eastAsiaTheme="majorEastAsia"/>
          <w:sz w:val="24"/>
          <w:lang w:val="en-US" w:eastAsia="zh-CN"/>
        </w:rPr>
        <w:t>采购人</w:t>
      </w:r>
      <w:r>
        <w:rPr>
          <w:rFonts w:hint="eastAsia" w:asciiTheme="majorEastAsia" w:hAnsiTheme="majorEastAsia" w:eastAsiaTheme="majorEastAsia"/>
          <w:sz w:val="24"/>
        </w:rPr>
        <w:t>提出的问题或要求保证在12小时内给予明确答复。</w:t>
      </w:r>
    </w:p>
    <w:p w14:paraId="0F291F4E">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本网上竞价承诺书自我公司盖章、法定代表人签字或授权代表签字后生效。</w:t>
      </w:r>
    </w:p>
    <w:p w14:paraId="657CC991">
      <w:pPr>
        <w:spacing w:line="500" w:lineRule="exact"/>
        <w:rPr>
          <w:rFonts w:asciiTheme="majorEastAsia" w:hAnsiTheme="majorEastAsia" w:eastAsiaTheme="majorEastAsia"/>
          <w:sz w:val="24"/>
        </w:rPr>
      </w:pPr>
      <w:r>
        <w:rPr>
          <w:rFonts w:hint="eastAsia" w:asciiTheme="majorEastAsia" w:hAnsiTheme="majorEastAsia" w:eastAsiaTheme="majorEastAsia"/>
          <w:sz w:val="24"/>
        </w:rPr>
        <w:t xml:space="preserve">  </w:t>
      </w:r>
    </w:p>
    <w:p w14:paraId="2F41E762">
      <w:pPr>
        <w:spacing w:line="500" w:lineRule="exact"/>
        <w:ind w:firstLine="240" w:firstLineChars="100"/>
        <w:rPr>
          <w:rFonts w:asciiTheme="majorEastAsia" w:hAnsiTheme="majorEastAsia" w:eastAsiaTheme="majorEastAsia"/>
          <w:sz w:val="24"/>
        </w:rPr>
      </w:pPr>
    </w:p>
    <w:p w14:paraId="1399FF6B">
      <w:pPr>
        <w:spacing w:line="500" w:lineRule="exact"/>
        <w:ind w:firstLine="240" w:firstLineChars="100"/>
        <w:rPr>
          <w:rFonts w:asciiTheme="majorEastAsia" w:hAnsiTheme="majorEastAsia" w:eastAsiaTheme="majorEastAsia"/>
          <w:sz w:val="24"/>
        </w:rPr>
      </w:pPr>
      <w:r>
        <w:rPr>
          <w:rFonts w:hint="eastAsia" w:asciiTheme="majorEastAsia" w:hAnsiTheme="majorEastAsia" w:eastAsiaTheme="majorEastAsia"/>
          <w:sz w:val="24"/>
        </w:rPr>
        <w:t>竞价供应商名称（全称并加盖公章）：</w:t>
      </w:r>
      <w:r>
        <w:rPr>
          <w:rFonts w:hint="eastAsia" w:asciiTheme="majorEastAsia" w:hAnsiTheme="majorEastAsia" w:eastAsiaTheme="majorEastAsia"/>
          <w:color w:val="000000"/>
          <w:sz w:val="24"/>
          <w:u w:val="single"/>
        </w:rPr>
        <w:t xml:space="preserve">                      </w:t>
      </w:r>
    </w:p>
    <w:p w14:paraId="518650BB">
      <w:pPr>
        <w:spacing w:line="500" w:lineRule="exact"/>
        <w:rPr>
          <w:rFonts w:asciiTheme="majorEastAsia" w:hAnsiTheme="majorEastAsia" w:eastAsiaTheme="majorEastAsia"/>
          <w:sz w:val="24"/>
        </w:rPr>
      </w:pPr>
      <w:r>
        <w:rPr>
          <w:rFonts w:hint="eastAsia" w:asciiTheme="majorEastAsia" w:hAnsiTheme="majorEastAsia" w:eastAsiaTheme="majorEastAsia"/>
          <w:sz w:val="24"/>
        </w:rPr>
        <w:t xml:space="preserve">  电话：</w:t>
      </w:r>
      <w:r>
        <w:rPr>
          <w:rFonts w:hint="eastAsia" w:asciiTheme="majorEastAsia" w:hAnsiTheme="majorEastAsia" w:eastAsiaTheme="majorEastAsia"/>
          <w:color w:val="000000"/>
          <w:sz w:val="24"/>
        </w:rPr>
        <w:t xml:space="preserve">                 </w:t>
      </w:r>
      <w:r>
        <w:rPr>
          <w:rFonts w:hint="eastAsia" w:asciiTheme="majorEastAsia" w:hAnsiTheme="majorEastAsia" w:eastAsiaTheme="majorEastAsia"/>
          <w:sz w:val="24"/>
        </w:rPr>
        <w:t xml:space="preserve"> 传真：</w:t>
      </w:r>
      <w:r>
        <w:rPr>
          <w:rFonts w:hint="eastAsia" w:asciiTheme="majorEastAsia" w:hAnsiTheme="majorEastAsia" w:eastAsiaTheme="majorEastAsia"/>
          <w:color w:val="000000"/>
          <w:sz w:val="24"/>
          <w:u w:val="single"/>
        </w:rPr>
        <w:t xml:space="preserve">                     </w:t>
      </w:r>
      <w:r>
        <w:rPr>
          <w:rFonts w:hint="eastAsia" w:asciiTheme="majorEastAsia" w:hAnsiTheme="majorEastAsia" w:eastAsiaTheme="majorEastAsia"/>
          <w:sz w:val="24"/>
        </w:rPr>
        <w:t xml:space="preserve">               </w:t>
      </w:r>
    </w:p>
    <w:p w14:paraId="40F2B8C0">
      <w:pPr>
        <w:spacing w:line="500" w:lineRule="exact"/>
        <w:rPr>
          <w:rFonts w:asciiTheme="majorEastAsia" w:hAnsiTheme="majorEastAsia" w:eastAsiaTheme="majorEastAsia"/>
          <w:sz w:val="24"/>
        </w:rPr>
      </w:pPr>
      <w:r>
        <w:rPr>
          <w:rFonts w:hint="eastAsia" w:asciiTheme="majorEastAsia" w:hAnsiTheme="majorEastAsia" w:eastAsiaTheme="majorEastAsia"/>
          <w:sz w:val="24"/>
        </w:rPr>
        <w:t xml:space="preserve">  竞价供应商法定代表人签字或授权代表签字：</w:t>
      </w:r>
      <w:r>
        <w:rPr>
          <w:rFonts w:hint="eastAsia" w:asciiTheme="majorEastAsia" w:hAnsiTheme="majorEastAsia" w:eastAsiaTheme="majorEastAsia"/>
          <w:color w:val="000000"/>
          <w:sz w:val="24"/>
          <w:u w:val="single"/>
        </w:rPr>
        <w:t xml:space="preserve">                 </w:t>
      </w:r>
      <w:r>
        <w:rPr>
          <w:rFonts w:hint="eastAsia" w:asciiTheme="majorEastAsia" w:hAnsiTheme="majorEastAsia" w:eastAsiaTheme="majorEastAsia"/>
          <w:sz w:val="24"/>
        </w:rPr>
        <w:t xml:space="preserve">             </w:t>
      </w:r>
    </w:p>
    <w:p w14:paraId="0952600F">
      <w:pPr>
        <w:spacing w:line="500" w:lineRule="exact"/>
        <w:rPr>
          <w:rFonts w:asciiTheme="majorEastAsia" w:hAnsiTheme="majorEastAsia" w:eastAsiaTheme="majorEastAsia"/>
          <w:sz w:val="24"/>
        </w:rPr>
      </w:pPr>
      <w:r>
        <w:rPr>
          <w:rFonts w:hint="eastAsia" w:asciiTheme="majorEastAsia" w:hAnsiTheme="majorEastAsia" w:eastAsiaTheme="majorEastAsia"/>
          <w:sz w:val="24"/>
        </w:rPr>
        <w:t xml:space="preserve">  日期：    年   月   日</w:t>
      </w:r>
    </w:p>
    <w:p w14:paraId="4D551529">
      <w:pPr>
        <w:pStyle w:val="50"/>
        <w:spacing w:before="0" w:beforeAutospacing="0" w:after="0" w:afterAutospacing="0" w:line="500" w:lineRule="exact"/>
        <w:ind w:left="5250"/>
        <w:rPr>
          <w:rStyle w:val="26"/>
          <w:rFonts w:asciiTheme="majorEastAsia" w:hAnsiTheme="majorEastAsia" w:eastAsiaTheme="majorEastAsia"/>
          <w:b/>
          <w:color w:val="000000" w:themeColor="text1"/>
          <w14:textFill>
            <w14:solidFill>
              <w14:schemeClr w14:val="tx1"/>
            </w14:solidFill>
          </w14:textFill>
        </w:rPr>
      </w:pPr>
    </w:p>
    <w:p w14:paraId="66C524B8">
      <w:pPr>
        <w:pStyle w:val="50"/>
        <w:spacing w:before="0" w:beforeAutospacing="0" w:after="0" w:afterAutospacing="0" w:line="500" w:lineRule="exact"/>
        <w:jc w:val="center"/>
        <w:rPr>
          <w:rStyle w:val="26"/>
          <w:rFonts w:asciiTheme="majorEastAsia" w:hAnsiTheme="majorEastAsia" w:eastAsiaTheme="majorEastAsia"/>
          <w:b/>
          <w:color w:val="000000" w:themeColor="text1"/>
          <w:sz w:val="30"/>
          <w:szCs w:val="30"/>
          <w14:textFill>
            <w14:solidFill>
              <w14:schemeClr w14:val="tx1"/>
            </w14:solidFill>
          </w14:textFill>
        </w:rPr>
      </w:pPr>
      <w:r>
        <w:rPr>
          <w:rStyle w:val="26"/>
          <w:rFonts w:cs="宋体"/>
          <w:b/>
          <w:color w:val="000000" w:themeColor="text1"/>
          <w:sz w:val="30"/>
          <w:szCs w:val="30"/>
          <w14:textFill>
            <w14:solidFill>
              <w14:schemeClr w14:val="tx1"/>
            </w14:solidFill>
          </w14:textFill>
        </w:rPr>
        <w:br w:type="page"/>
      </w:r>
      <w:r>
        <w:rPr>
          <w:rStyle w:val="26"/>
          <w:rFonts w:hint="eastAsia" w:asciiTheme="majorEastAsia" w:hAnsiTheme="majorEastAsia" w:eastAsiaTheme="majorEastAsia"/>
          <w:b/>
          <w:color w:val="000000" w:themeColor="text1"/>
          <w:sz w:val="30"/>
          <w:szCs w:val="30"/>
          <w14:textFill>
            <w14:solidFill>
              <w14:schemeClr w14:val="tx1"/>
            </w14:solidFill>
          </w14:textFill>
        </w:rPr>
        <w:t>3.竞价保证金凭证复印件</w:t>
      </w:r>
    </w:p>
    <w:p w14:paraId="3B27FC39">
      <w:pPr>
        <w:jc w:val="left"/>
        <w:textAlignment w:val="auto"/>
        <w:rPr>
          <w:rStyle w:val="26"/>
          <w:rFonts w:ascii="宋体" w:hAnsi="宋体" w:cs="宋体"/>
          <w:b/>
          <w:color w:val="000000" w:themeColor="text1"/>
          <w:kern w:val="0"/>
          <w:sz w:val="30"/>
          <w:szCs w:val="30"/>
          <w14:textFill>
            <w14:solidFill>
              <w14:schemeClr w14:val="tx1"/>
            </w14:solidFill>
          </w14:textFill>
        </w:rPr>
      </w:pPr>
    </w:p>
    <w:p w14:paraId="6C5565AC">
      <w:pPr>
        <w:jc w:val="left"/>
        <w:textAlignment w:val="auto"/>
        <w:rPr>
          <w:rStyle w:val="26"/>
          <w:rFonts w:ascii="宋体" w:hAnsi="宋体" w:cs="宋体"/>
          <w:b/>
          <w:color w:val="000000" w:themeColor="text1"/>
          <w:kern w:val="0"/>
          <w:sz w:val="30"/>
          <w:szCs w:val="30"/>
          <w14:textFill>
            <w14:solidFill>
              <w14:schemeClr w14:val="tx1"/>
            </w14:solidFill>
          </w14:textFill>
        </w:rPr>
      </w:pPr>
    </w:p>
    <w:p w14:paraId="78A90DA1">
      <w:pPr>
        <w:jc w:val="left"/>
        <w:textAlignment w:val="auto"/>
        <w:rPr>
          <w:rStyle w:val="26"/>
          <w:rFonts w:asciiTheme="majorEastAsia" w:hAnsiTheme="majorEastAsia" w:eastAsiaTheme="majorEastAsia"/>
          <w:b/>
          <w:color w:val="000000" w:themeColor="text1"/>
          <w:sz w:val="30"/>
          <w:szCs w:val="30"/>
          <w14:textFill>
            <w14:solidFill>
              <w14:schemeClr w14:val="tx1"/>
            </w14:solidFill>
          </w14:textFill>
        </w:rPr>
      </w:pPr>
      <w:r>
        <w:rPr>
          <w:rStyle w:val="26"/>
          <w:rFonts w:cs="宋体"/>
          <w:b/>
          <w:color w:val="000000" w:themeColor="text1"/>
          <w:sz w:val="30"/>
          <w:szCs w:val="30"/>
          <w14:textFill>
            <w14:solidFill>
              <w14:schemeClr w14:val="tx1"/>
            </w14:solidFill>
          </w14:textFill>
        </w:rPr>
        <w:br w:type="page"/>
      </w:r>
    </w:p>
    <w:p w14:paraId="05888EE1">
      <w:pPr>
        <w:jc w:val="center"/>
        <w:textAlignment w:val="auto"/>
        <w:rPr>
          <w:rStyle w:val="26"/>
          <w:rFonts w:asciiTheme="majorEastAsia" w:hAnsiTheme="majorEastAsia" w:eastAsiaTheme="majorEastAsia"/>
          <w:b/>
          <w:kern w:val="0"/>
          <w:sz w:val="30"/>
          <w:szCs w:val="30"/>
        </w:rPr>
      </w:pPr>
      <w:r>
        <w:rPr>
          <w:rStyle w:val="26"/>
          <w:rFonts w:hint="eastAsia" w:asciiTheme="majorEastAsia" w:hAnsiTheme="majorEastAsia" w:eastAsiaTheme="majorEastAsia"/>
          <w:b/>
          <w:kern w:val="0"/>
          <w:sz w:val="30"/>
          <w:szCs w:val="30"/>
        </w:rPr>
        <w:t>4.参加采购活动前3年内无重大违法不良信用记录</w:t>
      </w:r>
    </w:p>
    <w:p w14:paraId="4952F992">
      <w:pPr>
        <w:wordWrap w:val="0"/>
        <w:spacing w:line="500" w:lineRule="exact"/>
        <w:ind w:firstLine="480" w:firstLineChars="200"/>
        <w:jc w:val="left"/>
        <w:textAlignment w:val="auto"/>
        <w:rPr>
          <w:rStyle w:val="26"/>
          <w:rFonts w:ascii="宋体" w:hAnsi="宋体" w:cs="宋体"/>
          <w:kern w:val="0"/>
          <w:sz w:val="24"/>
        </w:rPr>
      </w:pPr>
      <w:r>
        <w:rPr>
          <w:rStyle w:val="26"/>
          <w:rFonts w:hint="eastAsia" w:ascii="宋体" w:hAnsi="宋体" w:cs="宋体"/>
          <w:kern w:val="0"/>
          <w:sz w:val="24"/>
        </w:rPr>
        <w:t>注：</w:t>
      </w:r>
      <w:r>
        <w:rPr>
          <w:rFonts w:hint="eastAsia" w:ascii="宋体" w:hAnsi="宋体"/>
          <w:sz w:val="24"/>
        </w:rPr>
        <w:t>不良信用记录是指列入失信被执行人、重大税收违法案件当事人名单和政府采购严重违法失信行为记录名单等。</w:t>
      </w:r>
      <w:r>
        <w:rPr>
          <w:rStyle w:val="26"/>
          <w:rFonts w:hint="eastAsia" w:ascii="宋体" w:hAnsi="宋体" w:cs="宋体"/>
          <w:sz w:val="24"/>
        </w:rPr>
        <w:t>竞价供应商须提供</w:t>
      </w:r>
      <w:r>
        <w:rPr>
          <w:rFonts w:hint="eastAsia" w:ascii="宋体" w:hAnsi="宋体"/>
          <w:sz w:val="24"/>
        </w:rPr>
        <w:t>通过“信用中国”网站(www.creditchina.gov.cn)、中国政府采购网(</w:t>
      </w:r>
      <w:r>
        <w:fldChar w:fldCharType="begin"/>
      </w:r>
      <w:r>
        <w:instrText xml:space="preserve"> HYPERLINK "http://www.ccgp.gov.cn" </w:instrText>
      </w:r>
      <w:r>
        <w:fldChar w:fldCharType="separate"/>
      </w:r>
      <w:r>
        <w:rPr>
          <w:rStyle w:val="30"/>
          <w:rFonts w:hint="eastAsia" w:ascii="宋体" w:hAnsi="宋体"/>
          <w:color w:val="auto"/>
          <w:sz w:val="24"/>
          <w:u w:val="none"/>
        </w:rPr>
        <w:t>www.ccgp.gov.cn</w:t>
      </w:r>
      <w:r>
        <w:rPr>
          <w:rStyle w:val="30"/>
          <w:rFonts w:hint="eastAsia" w:ascii="宋体" w:hAnsi="宋体"/>
          <w:color w:val="auto"/>
          <w:sz w:val="24"/>
          <w:u w:val="none"/>
        </w:rPr>
        <w:fldChar w:fldCharType="end"/>
      </w:r>
      <w:r>
        <w:rPr>
          <w:rFonts w:hint="eastAsia" w:ascii="宋体" w:hAnsi="宋体"/>
          <w:sz w:val="24"/>
        </w:rPr>
        <w:t>)查询的信用记录；</w:t>
      </w:r>
    </w:p>
    <w:p w14:paraId="5782DED9">
      <w:pPr>
        <w:spacing w:line="500" w:lineRule="exact"/>
        <w:ind w:firstLine="480" w:firstLineChars="200"/>
        <w:jc w:val="left"/>
        <w:textAlignment w:val="auto"/>
        <w:rPr>
          <w:rStyle w:val="26"/>
          <w:rFonts w:ascii="宋体" w:hAnsi="宋体" w:cs="宋体"/>
          <w:color w:val="000000" w:themeColor="text1"/>
          <w:kern w:val="0"/>
          <w:sz w:val="24"/>
          <w14:textFill>
            <w14:solidFill>
              <w14:schemeClr w14:val="tx1"/>
            </w14:solidFill>
          </w14:textFill>
        </w:rPr>
      </w:pPr>
    </w:p>
    <w:p w14:paraId="4B8AC885">
      <w:pPr>
        <w:jc w:val="left"/>
        <w:textAlignment w:val="auto"/>
        <w:rPr>
          <w:rStyle w:val="26"/>
          <w:rFonts w:hAnsi="宋体" w:cs="宋体"/>
          <w:b/>
          <w:color w:val="000000" w:themeColor="text1"/>
          <w:sz w:val="30"/>
          <w:szCs w:val="30"/>
          <w14:textFill>
            <w14:solidFill>
              <w14:schemeClr w14:val="tx1"/>
            </w14:solidFill>
          </w14:textFill>
        </w:rPr>
      </w:pPr>
      <w:r>
        <w:rPr>
          <w:rStyle w:val="26"/>
          <w:rFonts w:hAnsi="宋体" w:cs="宋体"/>
          <w:b/>
          <w:color w:val="000000" w:themeColor="text1"/>
          <w:sz w:val="30"/>
          <w:szCs w:val="30"/>
          <w14:textFill>
            <w14:solidFill>
              <w14:schemeClr w14:val="tx1"/>
            </w14:solidFill>
          </w14:textFill>
        </w:rPr>
        <w:br w:type="page"/>
      </w:r>
    </w:p>
    <w:p w14:paraId="511DB86C">
      <w:pPr>
        <w:jc w:val="center"/>
        <w:textAlignment w:val="auto"/>
        <w:rPr>
          <w:rStyle w:val="26"/>
          <w:rFonts w:cs="Times New Roman" w:asciiTheme="majorEastAsia" w:hAnsiTheme="majorEastAsia" w:eastAsiaTheme="majorEastAsia"/>
          <w:b/>
          <w:kern w:val="0"/>
          <w:sz w:val="30"/>
          <w:szCs w:val="30"/>
        </w:rPr>
      </w:pPr>
      <w:r>
        <w:rPr>
          <w:rStyle w:val="26"/>
          <w:rFonts w:hint="eastAsia" w:cs="Times New Roman" w:asciiTheme="majorEastAsia" w:hAnsiTheme="majorEastAsia" w:eastAsiaTheme="majorEastAsia"/>
          <w:b/>
          <w:kern w:val="0"/>
          <w:sz w:val="30"/>
          <w:szCs w:val="30"/>
        </w:rPr>
        <w:t>5.具备履行合同所必需的设备和专业技术能力的承诺</w:t>
      </w:r>
    </w:p>
    <w:p w14:paraId="4CB653AF">
      <w:pPr>
        <w:rPr>
          <w:rStyle w:val="26"/>
          <w:rFonts w:hAnsi="宋体" w:cs="宋体"/>
          <w:b/>
          <w:color w:val="000000" w:themeColor="text1"/>
          <w:sz w:val="30"/>
          <w:szCs w:val="30"/>
          <w14:textFill>
            <w14:solidFill>
              <w14:schemeClr w14:val="tx1"/>
            </w14:solidFill>
          </w14:textFill>
        </w:rPr>
      </w:pPr>
    </w:p>
    <w:p w14:paraId="15515EC3">
      <w:pPr>
        <w:pStyle w:val="8"/>
        <w:rPr>
          <w:rStyle w:val="26"/>
          <w:rFonts w:hAnsi="宋体" w:cs="宋体"/>
          <w:b/>
          <w:color w:val="000000" w:themeColor="text1"/>
          <w:sz w:val="30"/>
          <w:szCs w:val="30"/>
          <w14:textFill>
            <w14:solidFill>
              <w14:schemeClr w14:val="tx1"/>
            </w14:solidFill>
          </w14:textFill>
        </w:rPr>
      </w:pPr>
    </w:p>
    <w:p w14:paraId="15E8AD43">
      <w:pPr>
        <w:rPr>
          <w:rStyle w:val="26"/>
          <w:rFonts w:hAnsi="宋体" w:cs="宋体"/>
          <w:b/>
          <w:color w:val="000000" w:themeColor="text1"/>
          <w:sz w:val="30"/>
          <w:szCs w:val="30"/>
          <w14:textFill>
            <w14:solidFill>
              <w14:schemeClr w14:val="tx1"/>
            </w14:solidFill>
          </w14:textFill>
        </w:rPr>
      </w:pPr>
    </w:p>
    <w:p w14:paraId="6F4EC89D">
      <w:pPr>
        <w:pStyle w:val="8"/>
        <w:rPr>
          <w:rStyle w:val="26"/>
          <w:rFonts w:hAnsi="宋体" w:cs="宋体"/>
          <w:b/>
          <w:color w:val="000000" w:themeColor="text1"/>
          <w:sz w:val="30"/>
          <w:szCs w:val="30"/>
          <w14:textFill>
            <w14:solidFill>
              <w14:schemeClr w14:val="tx1"/>
            </w14:solidFill>
          </w14:textFill>
        </w:rPr>
      </w:pPr>
    </w:p>
    <w:p w14:paraId="379E659B">
      <w:pPr>
        <w:rPr>
          <w:rStyle w:val="26"/>
          <w:rFonts w:hAnsi="宋体" w:cs="宋体"/>
          <w:b/>
          <w:color w:val="000000" w:themeColor="text1"/>
          <w:sz w:val="30"/>
          <w:szCs w:val="30"/>
          <w14:textFill>
            <w14:solidFill>
              <w14:schemeClr w14:val="tx1"/>
            </w14:solidFill>
          </w14:textFill>
        </w:rPr>
      </w:pPr>
    </w:p>
    <w:p w14:paraId="2D83DEE3">
      <w:pPr>
        <w:pStyle w:val="8"/>
        <w:rPr>
          <w:rStyle w:val="26"/>
          <w:rFonts w:hAnsi="宋体" w:cs="宋体"/>
          <w:b/>
          <w:color w:val="000000" w:themeColor="text1"/>
          <w:sz w:val="30"/>
          <w:szCs w:val="30"/>
          <w14:textFill>
            <w14:solidFill>
              <w14:schemeClr w14:val="tx1"/>
            </w14:solidFill>
          </w14:textFill>
        </w:rPr>
      </w:pPr>
    </w:p>
    <w:p w14:paraId="372E3A54">
      <w:pPr>
        <w:rPr>
          <w:rStyle w:val="26"/>
          <w:rFonts w:hAnsi="宋体" w:cs="宋体"/>
          <w:b/>
          <w:color w:val="000000" w:themeColor="text1"/>
          <w:sz w:val="30"/>
          <w:szCs w:val="30"/>
          <w14:textFill>
            <w14:solidFill>
              <w14:schemeClr w14:val="tx1"/>
            </w14:solidFill>
          </w14:textFill>
        </w:rPr>
      </w:pPr>
    </w:p>
    <w:p w14:paraId="0B496CB6">
      <w:pPr>
        <w:pStyle w:val="8"/>
        <w:rPr>
          <w:rStyle w:val="26"/>
          <w:rFonts w:hAnsi="宋体" w:cs="宋体"/>
          <w:b/>
          <w:color w:val="000000" w:themeColor="text1"/>
          <w:sz w:val="30"/>
          <w:szCs w:val="30"/>
          <w14:textFill>
            <w14:solidFill>
              <w14:schemeClr w14:val="tx1"/>
            </w14:solidFill>
          </w14:textFill>
        </w:rPr>
      </w:pPr>
    </w:p>
    <w:p w14:paraId="45639D73">
      <w:pPr>
        <w:rPr>
          <w:rStyle w:val="26"/>
          <w:rFonts w:hAnsi="宋体" w:cs="宋体"/>
          <w:b/>
          <w:color w:val="000000" w:themeColor="text1"/>
          <w:sz w:val="30"/>
          <w:szCs w:val="30"/>
          <w14:textFill>
            <w14:solidFill>
              <w14:schemeClr w14:val="tx1"/>
            </w14:solidFill>
          </w14:textFill>
        </w:rPr>
      </w:pPr>
    </w:p>
    <w:p w14:paraId="31650943">
      <w:pPr>
        <w:pStyle w:val="8"/>
        <w:rPr>
          <w:rStyle w:val="26"/>
          <w:rFonts w:hAnsi="宋体" w:cs="宋体"/>
          <w:b/>
          <w:color w:val="000000" w:themeColor="text1"/>
          <w:sz w:val="30"/>
          <w:szCs w:val="30"/>
          <w14:textFill>
            <w14:solidFill>
              <w14:schemeClr w14:val="tx1"/>
            </w14:solidFill>
          </w14:textFill>
        </w:rPr>
      </w:pPr>
    </w:p>
    <w:p w14:paraId="1398EC8B">
      <w:pPr>
        <w:rPr>
          <w:rStyle w:val="26"/>
          <w:rFonts w:hAnsi="宋体" w:cs="宋体"/>
          <w:b/>
          <w:color w:val="000000" w:themeColor="text1"/>
          <w:sz w:val="30"/>
          <w:szCs w:val="30"/>
          <w14:textFill>
            <w14:solidFill>
              <w14:schemeClr w14:val="tx1"/>
            </w14:solidFill>
          </w14:textFill>
        </w:rPr>
      </w:pPr>
    </w:p>
    <w:p w14:paraId="4A945374">
      <w:pPr>
        <w:pStyle w:val="8"/>
        <w:rPr>
          <w:rStyle w:val="26"/>
          <w:rFonts w:hAnsi="宋体" w:cs="宋体"/>
          <w:b/>
          <w:color w:val="000000" w:themeColor="text1"/>
          <w:sz w:val="30"/>
          <w:szCs w:val="30"/>
          <w14:textFill>
            <w14:solidFill>
              <w14:schemeClr w14:val="tx1"/>
            </w14:solidFill>
          </w14:textFill>
        </w:rPr>
      </w:pPr>
    </w:p>
    <w:p w14:paraId="1D20AE53">
      <w:pPr>
        <w:rPr>
          <w:rStyle w:val="26"/>
          <w:rFonts w:hAnsi="宋体" w:cs="宋体"/>
          <w:b/>
          <w:color w:val="000000" w:themeColor="text1"/>
          <w:sz w:val="30"/>
          <w:szCs w:val="30"/>
          <w14:textFill>
            <w14:solidFill>
              <w14:schemeClr w14:val="tx1"/>
            </w14:solidFill>
          </w14:textFill>
        </w:rPr>
      </w:pPr>
    </w:p>
    <w:p w14:paraId="724E39E0">
      <w:pPr>
        <w:pStyle w:val="8"/>
        <w:rPr>
          <w:rStyle w:val="26"/>
          <w:rFonts w:hAnsi="宋体" w:cs="宋体"/>
          <w:b/>
          <w:color w:val="000000" w:themeColor="text1"/>
          <w:sz w:val="30"/>
          <w:szCs w:val="30"/>
          <w14:textFill>
            <w14:solidFill>
              <w14:schemeClr w14:val="tx1"/>
            </w14:solidFill>
          </w14:textFill>
        </w:rPr>
      </w:pPr>
    </w:p>
    <w:p w14:paraId="08DBF0B6">
      <w:pPr>
        <w:rPr>
          <w:rStyle w:val="26"/>
          <w:rFonts w:hAnsi="宋体" w:cs="宋体"/>
          <w:b/>
          <w:color w:val="000000" w:themeColor="text1"/>
          <w:sz w:val="30"/>
          <w:szCs w:val="30"/>
          <w14:textFill>
            <w14:solidFill>
              <w14:schemeClr w14:val="tx1"/>
            </w14:solidFill>
          </w14:textFill>
        </w:rPr>
      </w:pPr>
    </w:p>
    <w:p w14:paraId="759F2F5D">
      <w:pPr>
        <w:pStyle w:val="8"/>
      </w:pPr>
    </w:p>
    <w:p w14:paraId="3AED693E"/>
    <w:p w14:paraId="34427DA6">
      <w:pPr>
        <w:pStyle w:val="8"/>
      </w:pPr>
    </w:p>
    <w:p w14:paraId="207D55DA"/>
    <w:p w14:paraId="347BCD72">
      <w:pPr>
        <w:pStyle w:val="8"/>
      </w:pPr>
    </w:p>
    <w:p w14:paraId="575A1B4F"/>
    <w:p w14:paraId="46F78601">
      <w:pPr>
        <w:pStyle w:val="8"/>
      </w:pPr>
    </w:p>
    <w:p w14:paraId="7D938526"/>
    <w:p w14:paraId="05CFF83A">
      <w:pPr>
        <w:pStyle w:val="8"/>
      </w:pPr>
    </w:p>
    <w:p w14:paraId="35DAEDB1"/>
    <w:p w14:paraId="61CCF594">
      <w:pPr>
        <w:pStyle w:val="44"/>
        <w:spacing w:line="500" w:lineRule="exact"/>
        <w:ind w:firstLine="450" w:firstLineChars="150"/>
        <w:jc w:val="center"/>
        <w:rPr>
          <w:rStyle w:val="26"/>
          <w:rFonts w:hAnsi="宋体" w:cs="宋体"/>
          <w:b/>
          <w:color w:val="000000" w:themeColor="text1"/>
          <w:sz w:val="24"/>
          <w14:textFill>
            <w14:solidFill>
              <w14:schemeClr w14:val="tx1"/>
            </w14:solidFill>
          </w14:textFill>
        </w:rPr>
      </w:pPr>
      <w:r>
        <w:rPr>
          <w:rStyle w:val="26"/>
          <w:rFonts w:hint="eastAsia" w:hAnsi="宋体" w:cs="宋体"/>
          <w:b/>
          <w:color w:val="000000" w:themeColor="text1"/>
          <w:sz w:val="30"/>
          <w:szCs w:val="30"/>
          <w14:textFill>
            <w14:solidFill>
              <w14:schemeClr w14:val="tx1"/>
            </w14:solidFill>
          </w14:textFill>
        </w:rPr>
        <w:t>6.技术商务响应一览表</w:t>
      </w:r>
    </w:p>
    <w:tbl>
      <w:tblPr>
        <w:tblStyle w:val="22"/>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985"/>
        <w:gridCol w:w="3502"/>
        <w:gridCol w:w="3416"/>
        <w:gridCol w:w="1830"/>
      </w:tblGrid>
      <w:tr w14:paraId="1DEBFD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4E57C6D6">
            <w:pPr>
              <w:spacing w:line="500" w:lineRule="exact"/>
              <w:jc w:val="center"/>
              <w:rPr>
                <w:rStyle w:val="26"/>
                <w:rFonts w:ascii="宋体" w:hAnsi="宋体" w:cs="宋体"/>
                <w:color w:val="000000" w:themeColor="text1"/>
                <w:sz w:val="24"/>
                <w14:textFill>
                  <w14:solidFill>
                    <w14:schemeClr w14:val="tx1"/>
                  </w14:solidFill>
                </w14:textFill>
              </w:rPr>
            </w:pPr>
            <w:r>
              <w:rPr>
                <w:rStyle w:val="26"/>
                <w:rFonts w:hint="eastAsia" w:ascii="宋体" w:hAnsi="宋体" w:cs="宋体"/>
                <w:b/>
                <w:color w:val="000000" w:themeColor="text1"/>
                <w:sz w:val="24"/>
                <w14:textFill>
                  <w14:solidFill>
                    <w14:schemeClr w14:val="tx1"/>
                  </w14:solidFill>
                </w14:textFill>
              </w:rPr>
              <w:t>序号</w:t>
            </w:r>
          </w:p>
        </w:tc>
        <w:tc>
          <w:tcPr>
            <w:tcW w:w="1799" w:type="pct"/>
            <w:tcBorders>
              <w:top w:val="single" w:color="000000" w:sz="4" w:space="0"/>
              <w:left w:val="single" w:color="000000" w:sz="4" w:space="0"/>
              <w:bottom w:val="single" w:color="000000" w:sz="4" w:space="0"/>
              <w:right w:val="single" w:color="000000" w:sz="4" w:space="0"/>
            </w:tcBorders>
            <w:vAlign w:val="center"/>
          </w:tcPr>
          <w:p w14:paraId="152635EB">
            <w:pPr>
              <w:spacing w:line="500" w:lineRule="exact"/>
              <w:jc w:val="center"/>
              <w:rPr>
                <w:rStyle w:val="26"/>
                <w:rFonts w:ascii="宋体" w:hAnsi="宋体" w:cs="宋体"/>
                <w:color w:val="000000" w:themeColor="text1"/>
                <w:sz w:val="24"/>
                <w14:textFill>
                  <w14:solidFill>
                    <w14:schemeClr w14:val="tx1"/>
                  </w14:solidFill>
                </w14:textFill>
              </w:rPr>
            </w:pPr>
            <w:r>
              <w:rPr>
                <w:rStyle w:val="26"/>
                <w:rFonts w:hint="eastAsia" w:ascii="宋体" w:hAnsi="宋体" w:cs="宋体"/>
                <w:b/>
                <w:color w:val="000000" w:themeColor="text1"/>
                <w:sz w:val="24"/>
                <w14:textFill>
                  <w14:solidFill>
                    <w14:schemeClr w14:val="tx1"/>
                  </w14:solidFill>
                </w14:textFill>
              </w:rPr>
              <w:t>技术及商务要求</w:t>
            </w:r>
          </w:p>
        </w:tc>
        <w:tc>
          <w:tcPr>
            <w:tcW w:w="1755" w:type="pct"/>
            <w:tcBorders>
              <w:top w:val="single" w:color="000000" w:sz="4" w:space="0"/>
              <w:left w:val="single" w:color="000000" w:sz="4" w:space="0"/>
              <w:bottom w:val="single" w:color="000000" w:sz="4" w:space="0"/>
              <w:right w:val="single" w:color="000000" w:sz="4" w:space="0"/>
            </w:tcBorders>
            <w:vAlign w:val="center"/>
          </w:tcPr>
          <w:p w14:paraId="43E977EC">
            <w:pPr>
              <w:spacing w:line="500" w:lineRule="exact"/>
              <w:jc w:val="center"/>
              <w:rPr>
                <w:rStyle w:val="26"/>
                <w:rFonts w:ascii="宋体" w:hAnsi="宋体" w:cs="宋体"/>
                <w:color w:val="000000" w:themeColor="text1"/>
                <w:sz w:val="24"/>
                <w14:textFill>
                  <w14:solidFill>
                    <w14:schemeClr w14:val="tx1"/>
                  </w14:solidFill>
                </w14:textFill>
              </w:rPr>
            </w:pPr>
            <w:r>
              <w:rPr>
                <w:rStyle w:val="26"/>
                <w:rFonts w:hint="eastAsia" w:ascii="宋体" w:hAnsi="宋体" w:cs="宋体"/>
                <w:b/>
                <w:color w:val="000000" w:themeColor="text1"/>
                <w:sz w:val="24"/>
                <w14:textFill>
                  <w14:solidFill>
                    <w14:schemeClr w14:val="tx1"/>
                  </w14:solidFill>
                </w14:textFill>
              </w:rPr>
              <w:t>响应内容</w:t>
            </w:r>
          </w:p>
        </w:tc>
        <w:tc>
          <w:tcPr>
            <w:tcW w:w="940" w:type="pct"/>
            <w:tcBorders>
              <w:top w:val="single" w:color="000000" w:sz="4" w:space="0"/>
              <w:left w:val="single" w:color="000000" w:sz="4" w:space="0"/>
              <w:bottom w:val="single" w:color="000000" w:sz="4" w:space="0"/>
              <w:right w:val="single" w:color="000000" w:sz="4" w:space="0"/>
            </w:tcBorders>
            <w:vAlign w:val="center"/>
          </w:tcPr>
          <w:p w14:paraId="08609877">
            <w:pPr>
              <w:spacing w:line="500" w:lineRule="exact"/>
              <w:jc w:val="center"/>
              <w:rPr>
                <w:rStyle w:val="26"/>
                <w:rFonts w:ascii="宋体" w:hAnsi="宋体" w:cs="宋体"/>
                <w:b/>
                <w:color w:val="000000" w:themeColor="text1"/>
                <w:sz w:val="24"/>
                <w14:textFill>
                  <w14:solidFill>
                    <w14:schemeClr w14:val="tx1"/>
                  </w14:solidFill>
                </w14:textFill>
              </w:rPr>
            </w:pPr>
            <w:r>
              <w:rPr>
                <w:rStyle w:val="26"/>
                <w:rFonts w:hint="eastAsia" w:ascii="宋体" w:hAnsi="宋体" w:cs="宋体"/>
                <w:b/>
                <w:color w:val="000000" w:themeColor="text1"/>
                <w:sz w:val="24"/>
                <w14:textFill>
                  <w14:solidFill>
                    <w14:schemeClr w14:val="tx1"/>
                  </w14:solidFill>
                </w14:textFill>
              </w:rPr>
              <w:t>响应情况</w:t>
            </w:r>
          </w:p>
          <w:p w14:paraId="4E31AFA6">
            <w:pPr>
              <w:spacing w:line="500" w:lineRule="exact"/>
              <w:jc w:val="center"/>
              <w:rPr>
                <w:rStyle w:val="26"/>
                <w:rFonts w:ascii="宋体" w:hAnsi="宋体" w:cs="宋体"/>
                <w:color w:val="000000" w:themeColor="text1"/>
                <w:sz w:val="24"/>
                <w14:textFill>
                  <w14:solidFill>
                    <w14:schemeClr w14:val="tx1"/>
                  </w14:solidFill>
                </w14:textFill>
              </w:rPr>
            </w:pPr>
            <w:r>
              <w:rPr>
                <w:rStyle w:val="26"/>
                <w:rFonts w:hint="eastAsia" w:ascii="宋体" w:hAnsi="宋体" w:cs="宋体"/>
                <w:b/>
                <w:color w:val="000000" w:themeColor="text1"/>
                <w:sz w:val="24"/>
                <w14:textFill>
                  <w14:solidFill>
                    <w14:schemeClr w14:val="tx1"/>
                  </w14:solidFill>
                </w14:textFill>
              </w:rPr>
              <w:t>(响应/不响应)</w:t>
            </w:r>
          </w:p>
        </w:tc>
      </w:tr>
      <w:tr w14:paraId="43B093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76D6157E">
            <w:pPr>
              <w:tabs>
                <w:tab w:val="left" w:pos="341"/>
              </w:tabs>
              <w:spacing w:line="500" w:lineRule="exact"/>
              <w:jc w:val="left"/>
              <w:rPr>
                <w:rStyle w:val="26"/>
                <w:rFonts w:ascii="宋体" w:hAnsi="宋体" w:cs="宋体"/>
                <w:b/>
                <w:color w:val="000000" w:themeColor="text1"/>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vAlign w:val="center"/>
          </w:tcPr>
          <w:p w14:paraId="3204DF3F">
            <w:pPr>
              <w:spacing w:line="500" w:lineRule="exact"/>
              <w:jc w:val="center"/>
              <w:rPr>
                <w:rStyle w:val="26"/>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06169C05">
            <w:pPr>
              <w:spacing w:line="500" w:lineRule="exact"/>
              <w:jc w:val="center"/>
              <w:rPr>
                <w:rStyle w:val="26"/>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1703E671">
            <w:pPr>
              <w:spacing w:line="500" w:lineRule="exact"/>
              <w:jc w:val="center"/>
              <w:rPr>
                <w:rStyle w:val="26"/>
                <w:rFonts w:ascii="宋体" w:hAnsi="宋体" w:cs="宋体"/>
                <w:color w:val="000000" w:themeColor="text1"/>
                <w:sz w:val="24"/>
                <w14:textFill>
                  <w14:solidFill>
                    <w14:schemeClr w14:val="tx1"/>
                  </w14:solidFill>
                </w14:textFill>
              </w:rPr>
            </w:pPr>
          </w:p>
        </w:tc>
      </w:tr>
      <w:tr w14:paraId="2861B8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2E03E8E2">
            <w:pPr>
              <w:spacing w:line="500" w:lineRule="exact"/>
              <w:jc w:val="center"/>
              <w:rPr>
                <w:rStyle w:val="26"/>
                <w:rFonts w:ascii="宋体" w:hAnsi="宋体" w:cs="宋体"/>
                <w:color w:val="000000" w:themeColor="text1"/>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4C83C02B">
            <w:pPr>
              <w:spacing w:line="500" w:lineRule="exact"/>
              <w:rPr>
                <w:rStyle w:val="26"/>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09DFAE40">
            <w:pPr>
              <w:spacing w:line="500" w:lineRule="exact"/>
              <w:jc w:val="center"/>
              <w:rPr>
                <w:rStyle w:val="26"/>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3109E3EF">
            <w:pPr>
              <w:spacing w:line="500" w:lineRule="exact"/>
              <w:jc w:val="center"/>
              <w:rPr>
                <w:rStyle w:val="26"/>
                <w:rFonts w:ascii="宋体" w:hAnsi="宋体" w:cs="宋体"/>
                <w:color w:val="000000" w:themeColor="text1"/>
                <w:sz w:val="24"/>
                <w14:textFill>
                  <w14:solidFill>
                    <w14:schemeClr w14:val="tx1"/>
                  </w14:solidFill>
                </w14:textFill>
              </w:rPr>
            </w:pPr>
          </w:p>
        </w:tc>
      </w:tr>
      <w:tr w14:paraId="2CEDEE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39685C81">
            <w:pPr>
              <w:spacing w:line="500" w:lineRule="exact"/>
              <w:jc w:val="center"/>
              <w:rPr>
                <w:rStyle w:val="26"/>
                <w:rFonts w:ascii="宋体" w:hAnsi="宋体" w:cs="宋体"/>
                <w:color w:val="000000" w:themeColor="text1"/>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67CA89D2">
            <w:pPr>
              <w:spacing w:line="500" w:lineRule="exact"/>
              <w:rPr>
                <w:rStyle w:val="26"/>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49271DE7">
            <w:pPr>
              <w:spacing w:line="500" w:lineRule="exact"/>
              <w:jc w:val="center"/>
              <w:rPr>
                <w:rStyle w:val="26"/>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42649E8C">
            <w:pPr>
              <w:spacing w:line="500" w:lineRule="exact"/>
              <w:jc w:val="center"/>
              <w:rPr>
                <w:rStyle w:val="26"/>
                <w:rFonts w:ascii="宋体" w:hAnsi="宋体" w:cs="宋体"/>
                <w:color w:val="000000" w:themeColor="text1"/>
                <w:sz w:val="24"/>
                <w14:textFill>
                  <w14:solidFill>
                    <w14:schemeClr w14:val="tx1"/>
                  </w14:solidFill>
                </w14:textFill>
              </w:rPr>
            </w:pPr>
          </w:p>
        </w:tc>
      </w:tr>
      <w:tr w14:paraId="47366A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74A9E765">
            <w:pPr>
              <w:spacing w:line="500" w:lineRule="exact"/>
              <w:jc w:val="left"/>
              <w:textAlignment w:val="center"/>
              <w:rPr>
                <w:rStyle w:val="26"/>
                <w:rFonts w:ascii="宋体" w:hAnsi="宋体" w:cs="宋体"/>
                <w:color w:val="000000" w:themeColor="text1"/>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7D0B0B4A">
            <w:pPr>
              <w:spacing w:line="500" w:lineRule="exact"/>
              <w:rPr>
                <w:rStyle w:val="26"/>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4D700E35">
            <w:pPr>
              <w:spacing w:line="500" w:lineRule="exact"/>
              <w:jc w:val="center"/>
              <w:rPr>
                <w:rStyle w:val="26"/>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767A5B08">
            <w:pPr>
              <w:spacing w:line="500" w:lineRule="exact"/>
              <w:jc w:val="center"/>
              <w:rPr>
                <w:rStyle w:val="26"/>
                <w:rFonts w:ascii="宋体" w:hAnsi="宋体" w:cs="宋体"/>
                <w:color w:val="000000" w:themeColor="text1"/>
                <w:sz w:val="24"/>
                <w14:textFill>
                  <w14:solidFill>
                    <w14:schemeClr w14:val="tx1"/>
                  </w14:solidFill>
                </w14:textFill>
              </w:rPr>
            </w:pPr>
          </w:p>
        </w:tc>
      </w:tr>
      <w:tr w14:paraId="18D8E1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7836BC57">
            <w:pPr>
              <w:spacing w:line="500" w:lineRule="exact"/>
              <w:jc w:val="center"/>
              <w:rPr>
                <w:rStyle w:val="26"/>
                <w:rFonts w:ascii="宋体" w:hAnsi="宋体" w:cs="宋体"/>
                <w:color w:val="000000" w:themeColor="text1"/>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70EACF46">
            <w:pPr>
              <w:spacing w:line="500" w:lineRule="exact"/>
              <w:rPr>
                <w:rStyle w:val="26"/>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6826A88D">
            <w:pPr>
              <w:spacing w:line="500" w:lineRule="exact"/>
              <w:jc w:val="center"/>
              <w:rPr>
                <w:rStyle w:val="26"/>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612E7E01">
            <w:pPr>
              <w:spacing w:line="500" w:lineRule="exact"/>
              <w:jc w:val="center"/>
              <w:rPr>
                <w:rStyle w:val="26"/>
                <w:rFonts w:ascii="宋体" w:hAnsi="宋体" w:cs="宋体"/>
                <w:color w:val="000000" w:themeColor="text1"/>
                <w:sz w:val="24"/>
                <w14:textFill>
                  <w14:solidFill>
                    <w14:schemeClr w14:val="tx1"/>
                  </w14:solidFill>
                </w14:textFill>
              </w:rPr>
            </w:pPr>
          </w:p>
        </w:tc>
      </w:tr>
      <w:tr w14:paraId="67D217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3AE6698A">
            <w:pPr>
              <w:spacing w:line="500" w:lineRule="exact"/>
              <w:jc w:val="center"/>
              <w:rPr>
                <w:rStyle w:val="26"/>
                <w:rFonts w:ascii="宋体" w:hAnsi="宋体" w:cs="宋体"/>
                <w:color w:val="000000" w:themeColor="text1"/>
                <w:kern w:val="0"/>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0383B057">
            <w:pPr>
              <w:spacing w:line="500" w:lineRule="exact"/>
              <w:rPr>
                <w:rStyle w:val="26"/>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10FF8A6F">
            <w:pPr>
              <w:spacing w:line="500" w:lineRule="exact"/>
              <w:jc w:val="center"/>
              <w:rPr>
                <w:rStyle w:val="26"/>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0ABBA902">
            <w:pPr>
              <w:spacing w:line="500" w:lineRule="exact"/>
              <w:jc w:val="center"/>
              <w:rPr>
                <w:rStyle w:val="26"/>
                <w:rFonts w:ascii="宋体" w:hAnsi="宋体" w:cs="宋体"/>
                <w:color w:val="000000" w:themeColor="text1"/>
                <w:sz w:val="24"/>
                <w14:textFill>
                  <w14:solidFill>
                    <w14:schemeClr w14:val="tx1"/>
                  </w14:solidFill>
                </w14:textFill>
              </w:rPr>
            </w:pPr>
          </w:p>
        </w:tc>
      </w:tr>
      <w:tr w14:paraId="0EA8C3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03526518">
            <w:pPr>
              <w:spacing w:line="500" w:lineRule="exact"/>
              <w:jc w:val="center"/>
              <w:rPr>
                <w:rStyle w:val="26"/>
                <w:rFonts w:ascii="宋体" w:hAnsi="宋体" w:cs="宋体"/>
                <w:color w:val="000000" w:themeColor="text1"/>
                <w:kern w:val="0"/>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0A81EAE8">
            <w:pPr>
              <w:spacing w:line="500" w:lineRule="exact"/>
              <w:rPr>
                <w:rStyle w:val="26"/>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5F233AB0">
            <w:pPr>
              <w:spacing w:line="500" w:lineRule="exact"/>
              <w:jc w:val="center"/>
              <w:rPr>
                <w:rStyle w:val="26"/>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05800474">
            <w:pPr>
              <w:spacing w:line="500" w:lineRule="exact"/>
              <w:jc w:val="center"/>
              <w:rPr>
                <w:rStyle w:val="26"/>
                <w:rFonts w:ascii="宋体" w:hAnsi="宋体" w:cs="宋体"/>
                <w:color w:val="000000" w:themeColor="text1"/>
                <w:sz w:val="24"/>
                <w14:textFill>
                  <w14:solidFill>
                    <w14:schemeClr w14:val="tx1"/>
                  </w14:solidFill>
                </w14:textFill>
              </w:rPr>
            </w:pPr>
          </w:p>
        </w:tc>
      </w:tr>
    </w:tbl>
    <w:p w14:paraId="074F759A">
      <w:pPr>
        <w:pStyle w:val="50"/>
        <w:spacing w:before="0" w:beforeAutospacing="0" w:after="0" w:afterAutospacing="0" w:line="500" w:lineRule="exact"/>
        <w:rPr>
          <w:rStyle w:val="26"/>
          <w:rFonts w:cs="宋体"/>
          <w:color w:val="000000" w:themeColor="text1"/>
          <w14:textFill>
            <w14:solidFill>
              <w14:schemeClr w14:val="tx1"/>
            </w14:solidFill>
          </w14:textFill>
        </w:rPr>
      </w:pPr>
      <w:r>
        <w:rPr>
          <w:rStyle w:val="26"/>
          <w:rFonts w:hint="eastAsia" w:cs="宋体"/>
          <w:color w:val="000000" w:themeColor="text1"/>
          <w14:textFill>
            <w14:solidFill>
              <w14:schemeClr w14:val="tx1"/>
            </w14:solidFill>
          </w14:textFill>
        </w:rPr>
        <w:t>注：竞价供应商须逐条填写并响应本竞价文件第二章“网上竞价内容及要求”中“</w:t>
      </w:r>
      <w:r>
        <w:rPr>
          <w:rStyle w:val="26"/>
          <w:rFonts w:hint="eastAsia" w:cs="宋体"/>
          <w:b/>
          <w:color w:val="000000" w:themeColor="text1"/>
          <w14:textFill>
            <w14:solidFill>
              <w14:schemeClr w14:val="tx1"/>
            </w14:solidFill>
          </w14:textFill>
        </w:rPr>
        <w:t>二、技术要求</w:t>
      </w:r>
      <w:r>
        <w:rPr>
          <w:rStyle w:val="26"/>
          <w:rFonts w:hint="eastAsia" w:cs="宋体"/>
          <w:color w:val="000000" w:themeColor="text1"/>
          <w14:textFill>
            <w14:solidFill>
              <w14:schemeClr w14:val="tx1"/>
            </w14:solidFill>
          </w14:textFill>
        </w:rPr>
        <w:t>”及“</w:t>
      </w:r>
      <w:r>
        <w:rPr>
          <w:rFonts w:hint="eastAsia" w:cs="宋体"/>
          <w:b/>
        </w:rPr>
        <w:t>三、商务要求</w:t>
      </w:r>
      <w:r>
        <w:rPr>
          <w:rStyle w:val="26"/>
          <w:rFonts w:hint="eastAsia" w:cs="宋体"/>
          <w:color w:val="000000" w:themeColor="text1"/>
          <w14:textFill>
            <w14:solidFill>
              <w14:schemeClr w14:val="tx1"/>
            </w14:solidFill>
          </w14:textFill>
        </w:rPr>
        <w:t>”所有条款。未按规定填写，或响应内容及响应情况为“不合格”的，报名审核将不通过。报价部分无须体现。</w:t>
      </w:r>
    </w:p>
    <w:p w14:paraId="503B4034">
      <w:pPr>
        <w:pStyle w:val="50"/>
        <w:spacing w:before="0" w:beforeAutospacing="0" w:after="0" w:afterAutospacing="0" w:line="500" w:lineRule="exact"/>
        <w:rPr>
          <w:rStyle w:val="26"/>
          <w:rFonts w:cs="宋体"/>
          <w:color w:val="000000" w:themeColor="text1"/>
          <w14:textFill>
            <w14:solidFill>
              <w14:schemeClr w14:val="tx1"/>
            </w14:solidFill>
          </w14:textFill>
        </w:rPr>
      </w:pPr>
    </w:p>
    <w:p w14:paraId="2833EA38">
      <w:pPr>
        <w:pStyle w:val="50"/>
        <w:spacing w:before="0" w:beforeAutospacing="0" w:after="0" w:afterAutospacing="0" w:line="500" w:lineRule="exact"/>
        <w:rPr>
          <w:rStyle w:val="26"/>
          <w:rFonts w:cs="宋体"/>
          <w:color w:val="000000" w:themeColor="text1"/>
          <w14:textFill>
            <w14:solidFill>
              <w14:schemeClr w14:val="tx1"/>
            </w14:solidFill>
          </w14:textFill>
        </w:rPr>
      </w:pPr>
      <w:r>
        <w:rPr>
          <w:rStyle w:val="26"/>
          <w:rFonts w:hint="eastAsia" w:cs="宋体"/>
          <w:color w:val="000000" w:themeColor="text1"/>
          <w14:textFill>
            <w14:solidFill>
              <w14:schemeClr w14:val="tx1"/>
            </w14:solidFill>
          </w14:textFill>
        </w:rPr>
        <w:t>竞价供应商：</w:t>
      </w:r>
      <w:r>
        <w:rPr>
          <w:rStyle w:val="26"/>
          <w:rFonts w:hint="eastAsia" w:cs="宋体"/>
          <w:color w:val="000000" w:themeColor="text1"/>
          <w:u w:val="single" w:color="000000"/>
          <w14:textFill>
            <w14:solidFill>
              <w14:schemeClr w14:val="tx1"/>
            </w14:solidFill>
          </w14:textFill>
        </w:rPr>
        <w:t>(全称并加盖单位公章)</w:t>
      </w:r>
    </w:p>
    <w:p w14:paraId="24593233">
      <w:pPr>
        <w:pStyle w:val="50"/>
        <w:spacing w:before="0" w:beforeAutospacing="0" w:after="0" w:afterAutospacing="0" w:line="500" w:lineRule="exact"/>
        <w:rPr>
          <w:rStyle w:val="26"/>
          <w:rFonts w:cs="宋体"/>
          <w:color w:val="000000" w:themeColor="text1"/>
          <w:u w:val="single" w:color="000000"/>
          <w14:textFill>
            <w14:solidFill>
              <w14:schemeClr w14:val="tx1"/>
            </w14:solidFill>
          </w14:textFill>
        </w:rPr>
      </w:pPr>
      <w:r>
        <w:rPr>
          <w:rStyle w:val="26"/>
          <w:rFonts w:hint="eastAsia" w:cs="宋体"/>
          <w:color w:val="000000" w:themeColor="text1"/>
          <w14:textFill>
            <w14:solidFill>
              <w14:schemeClr w14:val="tx1"/>
            </w14:solidFill>
          </w14:textFill>
        </w:rPr>
        <w:t>日期：</w:t>
      </w:r>
      <w:r>
        <w:rPr>
          <w:rStyle w:val="26"/>
          <w:rFonts w:hint="eastAsia" w:cs="宋体"/>
          <w:color w:val="000000" w:themeColor="text1"/>
          <w:u w:val="single" w:color="000000"/>
          <w14:textFill>
            <w14:solidFill>
              <w14:schemeClr w14:val="tx1"/>
            </w14:solidFill>
          </w14:textFill>
        </w:rPr>
        <w:t>    </w:t>
      </w:r>
      <w:r>
        <w:rPr>
          <w:rStyle w:val="26"/>
          <w:rFonts w:hint="eastAsia" w:cs="宋体"/>
          <w:color w:val="000000" w:themeColor="text1"/>
          <w14:textFill>
            <w14:solidFill>
              <w14:schemeClr w14:val="tx1"/>
            </w14:solidFill>
          </w14:textFill>
        </w:rPr>
        <w:t>年</w:t>
      </w:r>
      <w:r>
        <w:rPr>
          <w:rStyle w:val="26"/>
          <w:rFonts w:hint="eastAsia" w:cs="宋体"/>
          <w:color w:val="000000" w:themeColor="text1"/>
          <w:u w:val="single" w:color="000000"/>
          <w14:textFill>
            <w14:solidFill>
              <w14:schemeClr w14:val="tx1"/>
            </w14:solidFill>
          </w14:textFill>
        </w:rPr>
        <w:t>   </w:t>
      </w:r>
      <w:r>
        <w:rPr>
          <w:rStyle w:val="26"/>
          <w:rFonts w:hint="eastAsia" w:cs="宋体"/>
          <w:color w:val="000000" w:themeColor="text1"/>
          <w14:textFill>
            <w14:solidFill>
              <w14:schemeClr w14:val="tx1"/>
            </w14:solidFill>
          </w14:textFill>
        </w:rPr>
        <w:t>月</w:t>
      </w:r>
      <w:r>
        <w:rPr>
          <w:rStyle w:val="26"/>
          <w:rFonts w:hint="eastAsia" w:cs="宋体"/>
          <w:color w:val="000000" w:themeColor="text1"/>
          <w:u w:val="single" w:color="000000"/>
          <w14:textFill>
            <w14:solidFill>
              <w14:schemeClr w14:val="tx1"/>
            </w14:solidFill>
          </w14:textFill>
        </w:rPr>
        <w:t xml:space="preserve">  日 </w:t>
      </w:r>
    </w:p>
    <w:p w14:paraId="0D68F0CE">
      <w:pPr>
        <w:spacing w:line="500" w:lineRule="exact"/>
        <w:jc w:val="left"/>
        <w:textAlignment w:val="auto"/>
        <w:rPr>
          <w:rStyle w:val="26"/>
          <w:rFonts w:ascii="宋体" w:hAnsi="宋体" w:cs="宋体"/>
          <w:b/>
          <w:color w:val="000000" w:themeColor="text1"/>
          <w:kern w:val="0"/>
          <w:sz w:val="24"/>
          <w14:textFill>
            <w14:solidFill>
              <w14:schemeClr w14:val="tx1"/>
            </w14:solidFill>
          </w14:textFill>
        </w:rPr>
      </w:pPr>
      <w:r>
        <w:rPr>
          <w:rStyle w:val="26"/>
          <w:rFonts w:hint="eastAsia" w:ascii="宋体" w:hAnsi="宋体" w:cs="宋体"/>
          <w:b/>
          <w:color w:val="000000" w:themeColor="text1"/>
          <w:sz w:val="24"/>
          <w14:textFill>
            <w14:solidFill>
              <w14:schemeClr w14:val="tx1"/>
            </w14:solidFill>
          </w14:textFill>
        </w:rPr>
        <w:br w:type="page"/>
      </w:r>
    </w:p>
    <w:p w14:paraId="3C6D3835">
      <w:pPr>
        <w:pStyle w:val="50"/>
        <w:spacing w:before="0" w:beforeAutospacing="0" w:after="0" w:afterAutospacing="0" w:line="500" w:lineRule="exact"/>
        <w:jc w:val="center"/>
        <w:rPr>
          <w:rStyle w:val="26"/>
          <w:rFonts w:cs="宋体"/>
          <w:b/>
          <w:color w:val="000000" w:themeColor="text1"/>
          <w:sz w:val="30"/>
          <w:szCs w:val="30"/>
          <w14:textFill>
            <w14:solidFill>
              <w14:schemeClr w14:val="tx1"/>
            </w14:solidFill>
          </w14:textFill>
        </w:rPr>
      </w:pPr>
      <w:r>
        <w:rPr>
          <w:rStyle w:val="26"/>
          <w:rFonts w:hint="eastAsia" w:cs="宋体"/>
          <w:b/>
          <w:color w:val="000000" w:themeColor="text1"/>
          <w:sz w:val="30"/>
          <w:szCs w:val="30"/>
          <w14:textFill>
            <w14:solidFill>
              <w14:schemeClr w14:val="tx1"/>
            </w14:solidFill>
          </w14:textFill>
        </w:rPr>
        <w:t>7.竞价供应商需提供的其他材料</w:t>
      </w:r>
    </w:p>
    <w:p w14:paraId="1816DA35">
      <w:pPr>
        <w:spacing w:line="500" w:lineRule="exact"/>
        <w:jc w:val="center"/>
        <w:rPr>
          <w:rStyle w:val="26"/>
          <w:rFonts w:ascii="宋体" w:hAnsi="宋体" w:cs="宋体"/>
          <w:b/>
          <w:color w:val="000000" w:themeColor="text1"/>
          <w:sz w:val="24"/>
          <w14:textFill>
            <w14:solidFill>
              <w14:schemeClr w14:val="tx1"/>
            </w14:solidFill>
          </w14:textFill>
        </w:rPr>
      </w:pPr>
    </w:p>
    <w:p w14:paraId="422D6EC7">
      <w:pPr>
        <w:pStyle w:val="34"/>
        <w:spacing w:after="0" w:line="500" w:lineRule="exact"/>
        <w:rPr>
          <w:rStyle w:val="26"/>
          <w:rFonts w:ascii="宋体" w:hAnsi="宋体" w:cs="宋体"/>
          <w:bCs/>
          <w:color w:val="000000" w:themeColor="text1"/>
          <w:sz w:val="24"/>
          <w14:textFill>
            <w14:solidFill>
              <w14:schemeClr w14:val="tx1"/>
            </w14:solidFill>
          </w14:textFill>
        </w:rPr>
      </w:pPr>
      <w:r>
        <w:rPr>
          <w:rStyle w:val="26"/>
          <w:rFonts w:hint="eastAsia" w:ascii="宋体" w:hAnsi="宋体" w:cs="宋体"/>
          <w:bCs/>
          <w:color w:val="000000" w:themeColor="text1"/>
          <w:sz w:val="24"/>
          <w14:textFill>
            <w14:solidFill>
              <w14:schemeClr w14:val="tx1"/>
            </w14:solidFill>
          </w14:textFill>
        </w:rPr>
        <w:t>注：竞价文件有要求的或竞价供应商认为应提交的其他材料可在此项下提交。</w:t>
      </w:r>
    </w:p>
    <w:p w14:paraId="6F2B0CB9">
      <w:pPr>
        <w:pStyle w:val="33"/>
        <w:spacing w:line="500" w:lineRule="exact"/>
        <w:rPr>
          <w:rStyle w:val="26"/>
          <w:rFonts w:ascii="宋体" w:hAnsi="宋体" w:cs="宋体"/>
          <w:color w:val="000000" w:themeColor="text1"/>
          <w:sz w:val="24"/>
          <w:szCs w:val="24"/>
          <w14:textFill>
            <w14:solidFill>
              <w14:schemeClr w14:val="tx1"/>
            </w14:solidFill>
          </w14:textFill>
        </w:rPr>
      </w:pPr>
    </w:p>
    <w:p w14:paraId="7773F897">
      <w:pPr>
        <w:pStyle w:val="34"/>
        <w:spacing w:after="0" w:line="500" w:lineRule="exact"/>
        <w:rPr>
          <w:rStyle w:val="26"/>
          <w:rFonts w:ascii="宋体" w:hAnsi="宋体" w:cs="宋体"/>
          <w:color w:val="000000" w:themeColor="text1"/>
          <w:sz w:val="24"/>
          <w14:textFill>
            <w14:solidFill>
              <w14:schemeClr w14:val="tx1"/>
            </w14:solidFill>
          </w14:textFill>
        </w:rPr>
      </w:pPr>
    </w:p>
    <w:p w14:paraId="67AAA842">
      <w:pPr>
        <w:pStyle w:val="33"/>
        <w:spacing w:line="500" w:lineRule="exact"/>
        <w:rPr>
          <w:rStyle w:val="26"/>
          <w:rFonts w:ascii="宋体" w:hAnsi="宋体" w:cs="宋体"/>
          <w:color w:val="000000" w:themeColor="text1"/>
          <w:sz w:val="24"/>
          <w:szCs w:val="24"/>
          <w14:textFill>
            <w14:solidFill>
              <w14:schemeClr w14:val="tx1"/>
            </w14:solidFill>
          </w14:textFill>
        </w:rPr>
      </w:pPr>
    </w:p>
    <w:p w14:paraId="5D73E193">
      <w:pPr>
        <w:spacing w:line="500" w:lineRule="exact"/>
        <w:jc w:val="left"/>
        <w:textAlignment w:val="auto"/>
        <w:rPr>
          <w:rStyle w:val="26"/>
          <w:rFonts w:ascii="宋体" w:hAnsi="宋体" w:cs="宋体"/>
          <w:color w:val="000000" w:themeColor="text1"/>
          <w:sz w:val="24"/>
          <w14:textFill>
            <w14:solidFill>
              <w14:schemeClr w14:val="tx1"/>
            </w14:solidFill>
          </w14:textFill>
        </w:rPr>
      </w:pPr>
      <w:r>
        <w:rPr>
          <w:rStyle w:val="26"/>
          <w:rFonts w:hint="eastAsia" w:ascii="宋体" w:hAnsi="宋体" w:cs="宋体"/>
          <w:color w:val="000000" w:themeColor="text1"/>
          <w:sz w:val="24"/>
          <w14:textFill>
            <w14:solidFill>
              <w14:schemeClr w14:val="tx1"/>
            </w14:solidFill>
          </w14:textFill>
        </w:rPr>
        <w:br w:type="page"/>
      </w:r>
    </w:p>
    <w:p w14:paraId="561808C8">
      <w:pPr>
        <w:pStyle w:val="34"/>
        <w:spacing w:after="0" w:line="500" w:lineRule="exact"/>
        <w:jc w:val="center"/>
        <w:outlineLvl w:val="1"/>
        <w:rPr>
          <w:rStyle w:val="26"/>
          <w:rFonts w:ascii="宋体" w:hAnsi="宋体" w:cs="宋体"/>
          <w:b/>
          <w:bCs/>
          <w:color w:val="000000" w:themeColor="text1"/>
          <w:sz w:val="30"/>
          <w:szCs w:val="30"/>
          <w14:textFill>
            <w14:solidFill>
              <w14:schemeClr w14:val="tx1"/>
            </w14:solidFill>
          </w14:textFill>
        </w:rPr>
      </w:pPr>
      <w:bookmarkStart w:id="29" w:name="_Toc7398"/>
      <w:bookmarkStart w:id="30" w:name="_Toc97708366"/>
      <w:r>
        <w:rPr>
          <w:rStyle w:val="26"/>
          <w:rFonts w:hint="eastAsia" w:ascii="宋体" w:hAnsi="宋体" w:cs="宋体"/>
          <w:b/>
          <w:bCs/>
          <w:color w:val="000000" w:themeColor="text1"/>
          <w:sz w:val="30"/>
          <w:szCs w:val="30"/>
          <w14:textFill>
            <w14:solidFill>
              <w14:schemeClr w14:val="tx1"/>
            </w14:solidFill>
          </w14:textFill>
        </w:rPr>
        <w:t>第四章  报价文件</w:t>
      </w:r>
      <w:bookmarkEnd w:id="29"/>
      <w:bookmarkEnd w:id="30"/>
    </w:p>
    <w:p w14:paraId="2186D5BF">
      <w:pPr>
        <w:pStyle w:val="43"/>
        <w:spacing w:after="0" w:line="500" w:lineRule="exact"/>
        <w:ind w:firstLine="480" w:firstLineChars="200"/>
        <w:rPr>
          <w:rStyle w:val="26"/>
          <w:rFonts w:ascii="宋体" w:hAnsi="宋体" w:cs="宋体"/>
          <w:color w:val="000000" w:themeColor="text1"/>
          <w:sz w:val="24"/>
          <w14:textFill>
            <w14:solidFill>
              <w14:schemeClr w14:val="tx1"/>
            </w14:solidFill>
          </w14:textFill>
        </w:rPr>
      </w:pPr>
      <w:r>
        <w:rPr>
          <w:rStyle w:val="26"/>
          <w:rFonts w:hint="eastAsia" w:ascii="宋体" w:hAnsi="宋体" w:cs="宋体"/>
          <w:b/>
          <w:bCs/>
          <w:color w:val="000000" w:themeColor="text1"/>
          <w:sz w:val="24"/>
          <w14:textFill>
            <w14:solidFill>
              <w14:schemeClr w14:val="tx1"/>
            </w14:solidFill>
          </w14:textFill>
        </w:rPr>
        <w:t>★注意：①本报价文件在竞价过程中提供，竞价供应商报名时无须提供报价文件材料。 ②竞价供应商对每个项目合同包报价时都必须扫描上传有效的报价文件并加盖公章，未按要求扫描上传报价文件的竞价无效。电子报价文档具有法律效力。(竞价供应商制表时应删去此段话)</w:t>
      </w:r>
    </w:p>
    <w:p w14:paraId="2F51DAFD">
      <w:pPr>
        <w:jc w:val="left"/>
        <w:textAlignment w:val="auto"/>
        <w:rPr>
          <w:rStyle w:val="26"/>
          <w:rFonts w:ascii="宋体" w:hAnsi="宋体" w:cs="宋体"/>
          <w:b/>
          <w:color w:val="000000" w:themeColor="text1"/>
          <w:kern w:val="0"/>
          <w:sz w:val="24"/>
          <w14:textFill>
            <w14:solidFill>
              <w14:schemeClr w14:val="tx1"/>
            </w14:solidFill>
          </w14:textFill>
        </w:rPr>
      </w:pPr>
      <w:r>
        <w:rPr>
          <w:rStyle w:val="26"/>
          <w:rFonts w:hint="eastAsia" w:ascii="宋体" w:hAnsi="宋体" w:cs="宋体"/>
          <w:color w:val="000000" w:themeColor="text1"/>
          <w:sz w:val="24"/>
          <w14:textFill>
            <w14:solidFill>
              <w14:schemeClr w14:val="tx1"/>
            </w14:solidFill>
          </w14:textFill>
        </w:rPr>
        <w:br w:type="page"/>
      </w:r>
    </w:p>
    <w:p w14:paraId="22D2CC1F">
      <w:pPr>
        <w:pStyle w:val="36"/>
        <w:spacing w:beforeAutospacing="0" w:afterAutospacing="0" w:line="500" w:lineRule="exact"/>
        <w:ind w:firstLine="352" w:firstLineChars="147"/>
        <w:rPr>
          <w:rStyle w:val="26"/>
          <w:rFonts w:cs="宋体"/>
          <w:color w:val="000000" w:themeColor="text1"/>
          <w:sz w:val="24"/>
          <w:szCs w:val="24"/>
          <w14:textFill>
            <w14:solidFill>
              <w14:schemeClr w14:val="tx1"/>
            </w14:solidFill>
          </w14:textFill>
        </w:rPr>
      </w:pPr>
      <w:r>
        <w:rPr>
          <w:rStyle w:val="26"/>
          <w:rFonts w:hint="eastAsia" w:cs="宋体"/>
          <w:color w:val="000000" w:themeColor="text1"/>
          <w:sz w:val="24"/>
          <w:szCs w:val="24"/>
          <w14:textFill>
            <w14:solidFill>
              <w14:schemeClr w14:val="tx1"/>
            </w14:solidFill>
          </w14:textFill>
        </w:rPr>
        <w:t xml:space="preserve">竞价编号：                                  项目名称: </w:t>
      </w:r>
    </w:p>
    <w:p w14:paraId="32460385">
      <w:pPr>
        <w:pStyle w:val="36"/>
        <w:spacing w:beforeAutospacing="0" w:afterAutospacing="0" w:line="500" w:lineRule="exact"/>
        <w:jc w:val="center"/>
        <w:rPr>
          <w:rStyle w:val="26"/>
          <w:rFonts w:cs="宋体"/>
          <w:color w:val="000000" w:themeColor="text1"/>
          <w:sz w:val="24"/>
          <w:szCs w:val="24"/>
          <w14:textFill>
            <w14:solidFill>
              <w14:schemeClr w14:val="tx1"/>
            </w14:solidFill>
          </w14:textFill>
        </w:rPr>
      </w:pPr>
      <w:r>
        <w:rPr>
          <w:rStyle w:val="26"/>
          <w:rFonts w:hint="eastAsia" w:cs="宋体"/>
          <w:color w:val="000000" w:themeColor="text1"/>
          <w:sz w:val="24"/>
          <w:szCs w:val="24"/>
          <w14:textFill>
            <w14:solidFill>
              <w14:schemeClr w14:val="tx1"/>
            </w14:solidFill>
          </w14:textFill>
        </w:rPr>
        <w:t>报价一览表</w:t>
      </w:r>
    </w:p>
    <w:p w14:paraId="1753E8AC">
      <w:pPr>
        <w:pStyle w:val="73"/>
        <w:spacing w:line="500" w:lineRule="exact"/>
        <w:ind w:firstLine="6240" w:firstLineChars="2600"/>
        <w:rPr>
          <w:rStyle w:val="26"/>
          <w:rFonts w:ascii="宋体" w:hAnsi="宋体" w:cs="宋体"/>
          <w:color w:val="000000" w:themeColor="text1"/>
          <w:sz w:val="24"/>
          <w14:textFill>
            <w14:solidFill>
              <w14:schemeClr w14:val="tx1"/>
            </w14:solidFill>
          </w14:textFill>
        </w:rPr>
      </w:pPr>
      <w:r>
        <w:rPr>
          <w:rStyle w:val="26"/>
          <w:rFonts w:hint="eastAsia" w:ascii="宋体" w:hAnsi="宋体" w:cs="宋体"/>
          <w:color w:val="000000" w:themeColor="text1"/>
          <w:sz w:val="24"/>
          <w14:textFill>
            <w14:solidFill>
              <w14:schemeClr w14:val="tx1"/>
            </w14:solidFill>
          </w14:textFill>
        </w:rPr>
        <w:t>金额单位：人民币元</w:t>
      </w:r>
    </w:p>
    <w:tbl>
      <w:tblPr>
        <w:tblStyle w:val="22"/>
        <w:tblpPr w:leftFromText="180" w:rightFromText="180" w:vertAnchor="text" w:tblpY="1"/>
        <w:tblOverlap w:val="never"/>
        <w:tblW w:w="501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851"/>
        <w:gridCol w:w="997"/>
        <w:gridCol w:w="3972"/>
        <w:gridCol w:w="1253"/>
        <w:gridCol w:w="1444"/>
        <w:gridCol w:w="1253"/>
      </w:tblGrid>
      <w:tr w14:paraId="3D1925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436" w:type="pct"/>
            <w:tcBorders>
              <w:top w:val="single" w:color="000000" w:sz="4" w:space="0"/>
              <w:left w:val="single" w:color="000000" w:sz="4" w:space="0"/>
              <w:bottom w:val="single" w:color="000000" w:sz="4" w:space="0"/>
              <w:right w:val="single" w:color="000000" w:sz="4" w:space="0"/>
            </w:tcBorders>
            <w:vAlign w:val="center"/>
          </w:tcPr>
          <w:p w14:paraId="1BD534FE">
            <w:pPr>
              <w:snapToGrid w:val="0"/>
              <w:spacing w:line="500" w:lineRule="exact"/>
              <w:jc w:val="center"/>
              <w:rPr>
                <w:rStyle w:val="26"/>
                <w:rFonts w:ascii="宋体" w:hAnsi="宋体" w:cs="宋体"/>
                <w:b/>
                <w:bCs/>
                <w:color w:val="000000" w:themeColor="text1"/>
                <w:spacing w:val="-11"/>
                <w:sz w:val="24"/>
                <w14:textFill>
                  <w14:solidFill>
                    <w14:schemeClr w14:val="tx1"/>
                  </w14:solidFill>
                </w14:textFill>
              </w:rPr>
            </w:pPr>
            <w:r>
              <w:rPr>
                <w:rStyle w:val="26"/>
                <w:rFonts w:hint="eastAsia" w:ascii="宋体" w:hAnsi="宋体" w:cs="宋体"/>
                <w:b/>
                <w:bCs/>
                <w:color w:val="000000" w:themeColor="text1"/>
                <w:spacing w:val="-11"/>
                <w:sz w:val="24"/>
                <w14:textFill>
                  <w14:solidFill>
                    <w14:schemeClr w14:val="tx1"/>
                  </w14:solidFill>
                </w14:textFill>
              </w:rPr>
              <w:t>合同包</w:t>
            </w:r>
          </w:p>
        </w:tc>
        <w:tc>
          <w:tcPr>
            <w:tcW w:w="510" w:type="pct"/>
            <w:tcBorders>
              <w:top w:val="single" w:color="000000" w:sz="4" w:space="0"/>
              <w:left w:val="single" w:color="000000" w:sz="4" w:space="0"/>
              <w:bottom w:val="single" w:color="000000" w:sz="4" w:space="0"/>
              <w:right w:val="single" w:color="auto" w:sz="4" w:space="0"/>
            </w:tcBorders>
            <w:vAlign w:val="center"/>
          </w:tcPr>
          <w:p w14:paraId="73779F90">
            <w:pPr>
              <w:pStyle w:val="44"/>
              <w:snapToGrid w:val="0"/>
              <w:spacing w:line="500" w:lineRule="exact"/>
              <w:jc w:val="center"/>
              <w:rPr>
                <w:rStyle w:val="26"/>
                <w:rFonts w:hAnsi="宋体" w:cs="宋体"/>
                <w:b/>
                <w:bCs/>
                <w:color w:val="000000" w:themeColor="text1"/>
                <w:spacing w:val="-11"/>
                <w:sz w:val="24"/>
                <w14:textFill>
                  <w14:solidFill>
                    <w14:schemeClr w14:val="tx1"/>
                  </w14:solidFill>
                </w14:textFill>
              </w:rPr>
            </w:pPr>
            <w:r>
              <w:rPr>
                <w:rFonts w:hint="eastAsia" w:hAnsi="宋体" w:cs="宋体"/>
                <w:b/>
                <w:bCs/>
                <w:sz w:val="24"/>
              </w:rPr>
              <w:t>品目号</w:t>
            </w:r>
          </w:p>
        </w:tc>
        <w:tc>
          <w:tcPr>
            <w:tcW w:w="2033" w:type="pct"/>
            <w:tcBorders>
              <w:top w:val="single" w:color="000000" w:sz="4" w:space="0"/>
              <w:left w:val="single" w:color="auto" w:sz="4" w:space="0"/>
              <w:bottom w:val="single" w:color="000000" w:sz="4" w:space="0"/>
              <w:right w:val="single" w:color="000000" w:sz="4" w:space="0"/>
            </w:tcBorders>
            <w:vAlign w:val="center"/>
          </w:tcPr>
          <w:p w14:paraId="54B29B5F">
            <w:pPr>
              <w:pStyle w:val="44"/>
              <w:snapToGrid w:val="0"/>
              <w:spacing w:line="500" w:lineRule="exact"/>
              <w:jc w:val="center"/>
              <w:rPr>
                <w:rStyle w:val="26"/>
                <w:rFonts w:hAnsi="宋体" w:cs="宋体"/>
                <w:b/>
                <w:bCs/>
                <w:color w:val="000000" w:themeColor="text1"/>
                <w:spacing w:val="-11"/>
                <w:sz w:val="24"/>
                <w14:textFill>
                  <w14:solidFill>
                    <w14:schemeClr w14:val="tx1"/>
                  </w14:solidFill>
                </w14:textFill>
              </w:rPr>
            </w:pPr>
            <w:r>
              <w:rPr>
                <w:rFonts w:hint="eastAsia" w:hAnsi="宋体" w:cs="宋体"/>
                <w:b/>
                <w:bCs/>
                <w:color w:val="000000"/>
                <w:sz w:val="24"/>
                <w:lang w:eastAsia="zh-CN" w:bidi="ar"/>
              </w:rPr>
              <w:t>项目</w:t>
            </w:r>
            <w:r>
              <w:rPr>
                <w:rFonts w:hint="eastAsia" w:hAnsi="宋体" w:cs="宋体"/>
                <w:b/>
                <w:bCs/>
                <w:color w:val="000000"/>
                <w:sz w:val="24"/>
                <w:lang w:bidi="ar"/>
              </w:rPr>
              <w:t>名称</w:t>
            </w:r>
          </w:p>
        </w:tc>
        <w:tc>
          <w:tcPr>
            <w:tcW w:w="641" w:type="pct"/>
            <w:tcBorders>
              <w:top w:val="single" w:color="000000" w:sz="4" w:space="0"/>
              <w:left w:val="single" w:color="000000" w:sz="4" w:space="0"/>
              <w:bottom w:val="single" w:color="000000" w:sz="4" w:space="0"/>
              <w:right w:val="single" w:color="000000" w:sz="4" w:space="0"/>
            </w:tcBorders>
            <w:vAlign w:val="center"/>
          </w:tcPr>
          <w:p w14:paraId="24E57AB1">
            <w:pPr>
              <w:snapToGrid w:val="0"/>
              <w:spacing w:line="500" w:lineRule="exact"/>
              <w:jc w:val="center"/>
              <w:rPr>
                <w:rStyle w:val="26"/>
                <w:rFonts w:ascii="宋体" w:hAnsi="宋体" w:cs="宋体"/>
                <w:b/>
                <w:bCs/>
                <w:color w:val="000000" w:themeColor="text1"/>
                <w:spacing w:val="-11"/>
                <w:sz w:val="24"/>
                <w14:textFill>
                  <w14:solidFill>
                    <w14:schemeClr w14:val="tx1"/>
                  </w14:solidFill>
                </w14:textFill>
              </w:rPr>
            </w:pPr>
            <w:r>
              <w:rPr>
                <w:rStyle w:val="26"/>
                <w:rFonts w:hint="eastAsia" w:ascii="宋体" w:hAnsi="宋体" w:cs="宋体"/>
                <w:b/>
                <w:bCs/>
                <w:color w:val="000000" w:themeColor="text1"/>
                <w:spacing w:val="-11"/>
                <w:sz w:val="24"/>
                <w14:textFill>
                  <w14:solidFill>
                    <w14:schemeClr w14:val="tx1"/>
                  </w14:solidFill>
                </w14:textFill>
              </w:rPr>
              <w:t>数量</w:t>
            </w:r>
          </w:p>
        </w:tc>
        <w:tc>
          <w:tcPr>
            <w:tcW w:w="739" w:type="pct"/>
            <w:tcBorders>
              <w:top w:val="single" w:color="000000" w:sz="4" w:space="0"/>
              <w:left w:val="single" w:color="000000" w:sz="4" w:space="0"/>
              <w:bottom w:val="single" w:color="000000" w:sz="4" w:space="0"/>
              <w:right w:val="single" w:color="000000" w:sz="4" w:space="0"/>
            </w:tcBorders>
            <w:vAlign w:val="center"/>
          </w:tcPr>
          <w:p w14:paraId="31B48865">
            <w:pPr>
              <w:snapToGrid w:val="0"/>
              <w:spacing w:line="500" w:lineRule="exact"/>
              <w:jc w:val="center"/>
              <w:rPr>
                <w:rStyle w:val="26"/>
                <w:rFonts w:ascii="宋体" w:hAnsi="宋体" w:cs="宋体"/>
                <w:b/>
                <w:bCs/>
                <w:color w:val="000000" w:themeColor="text1"/>
                <w:spacing w:val="-11"/>
                <w:sz w:val="24"/>
                <w14:textFill>
                  <w14:solidFill>
                    <w14:schemeClr w14:val="tx1"/>
                  </w14:solidFill>
                </w14:textFill>
              </w:rPr>
            </w:pPr>
            <w:r>
              <w:rPr>
                <w:rStyle w:val="26"/>
                <w:rFonts w:hint="eastAsia" w:ascii="宋体" w:hAnsi="宋体" w:cs="宋体"/>
                <w:b/>
                <w:bCs/>
                <w:color w:val="000000" w:themeColor="text1"/>
                <w:spacing w:val="-11"/>
                <w:sz w:val="24"/>
                <w14:textFill>
                  <w14:solidFill>
                    <w14:schemeClr w14:val="tx1"/>
                  </w14:solidFill>
                </w14:textFill>
              </w:rPr>
              <w:t>投标单价</w:t>
            </w:r>
          </w:p>
        </w:tc>
        <w:tc>
          <w:tcPr>
            <w:tcW w:w="637" w:type="pct"/>
            <w:tcBorders>
              <w:top w:val="single" w:color="000000" w:sz="4" w:space="0"/>
              <w:left w:val="single" w:color="000000" w:sz="4" w:space="0"/>
              <w:bottom w:val="single" w:color="000000" w:sz="4" w:space="0"/>
              <w:right w:val="single" w:color="000000" w:sz="4" w:space="0"/>
            </w:tcBorders>
            <w:vAlign w:val="center"/>
          </w:tcPr>
          <w:p w14:paraId="4E38A34A">
            <w:pPr>
              <w:snapToGrid w:val="0"/>
              <w:spacing w:line="500" w:lineRule="exact"/>
              <w:jc w:val="center"/>
              <w:rPr>
                <w:rStyle w:val="26"/>
                <w:rFonts w:ascii="宋体" w:hAnsi="宋体" w:cs="宋体"/>
                <w:b/>
                <w:bCs/>
                <w:color w:val="000000" w:themeColor="text1"/>
                <w:spacing w:val="-11"/>
                <w:sz w:val="24"/>
                <w14:textFill>
                  <w14:solidFill>
                    <w14:schemeClr w14:val="tx1"/>
                  </w14:solidFill>
                </w14:textFill>
              </w:rPr>
            </w:pPr>
            <w:r>
              <w:rPr>
                <w:rStyle w:val="26"/>
                <w:rFonts w:hint="eastAsia" w:ascii="宋体" w:hAnsi="宋体" w:cs="宋体"/>
                <w:b/>
                <w:bCs/>
                <w:color w:val="000000" w:themeColor="text1"/>
                <w:spacing w:val="-11"/>
                <w:sz w:val="24"/>
                <w14:textFill>
                  <w14:solidFill>
                    <w14:schemeClr w14:val="tx1"/>
                  </w14:solidFill>
                </w14:textFill>
              </w:rPr>
              <w:t>合计金额</w:t>
            </w:r>
          </w:p>
        </w:tc>
      </w:tr>
      <w:tr w14:paraId="2FE2F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5" w:hRule="atLeast"/>
        </w:trPr>
        <w:tc>
          <w:tcPr>
            <w:tcW w:w="436" w:type="pct"/>
            <w:vMerge w:val="restart"/>
            <w:tcBorders>
              <w:top w:val="single" w:color="000000" w:sz="4" w:space="0"/>
              <w:left w:val="single" w:color="000000" w:sz="4" w:space="0"/>
              <w:right w:val="single" w:color="000000" w:sz="4" w:space="0"/>
            </w:tcBorders>
            <w:vAlign w:val="center"/>
          </w:tcPr>
          <w:p w14:paraId="1FC5D7A7">
            <w:pPr>
              <w:pStyle w:val="78"/>
              <w:spacing w:line="50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p>
        </w:tc>
        <w:tc>
          <w:tcPr>
            <w:tcW w:w="510" w:type="pct"/>
            <w:tcBorders>
              <w:top w:val="single" w:color="000000" w:sz="4" w:space="0"/>
              <w:left w:val="single" w:color="000000" w:sz="4" w:space="0"/>
              <w:bottom w:val="single" w:color="000000" w:sz="4" w:space="0"/>
              <w:right w:val="single" w:color="auto" w:sz="4" w:space="0"/>
            </w:tcBorders>
            <w:vAlign w:val="center"/>
          </w:tcPr>
          <w:p w14:paraId="606092F6">
            <w:pPr>
              <w:spacing w:line="500" w:lineRule="exact"/>
              <w:jc w:val="center"/>
              <w:textAlignment w:val="center"/>
              <w:rPr>
                <w:rFonts w:hint="default" w:ascii="宋体" w:hAnsi="宋体" w:eastAsia="宋体" w:cs="宋体"/>
                <w:color w:val="000000"/>
                <w:sz w:val="24"/>
                <w:lang w:val="en-US" w:eastAsia="zh-CN"/>
              </w:rPr>
            </w:pPr>
            <w:r>
              <w:rPr>
                <w:rFonts w:hint="eastAsia" w:ascii="宋体" w:hAnsi="宋体" w:cs="宋体"/>
                <w:bCs/>
                <w:sz w:val="24"/>
              </w:rPr>
              <w:t>1</w:t>
            </w:r>
            <w:r>
              <w:rPr>
                <w:rFonts w:hint="eastAsia" w:ascii="宋体" w:hAnsi="宋体" w:cs="宋体"/>
                <w:bCs/>
                <w:sz w:val="24"/>
                <w:lang w:val="en-US" w:eastAsia="zh-CN"/>
              </w:rPr>
              <w:t>-1</w:t>
            </w:r>
          </w:p>
        </w:tc>
        <w:tc>
          <w:tcPr>
            <w:tcW w:w="2033" w:type="pct"/>
            <w:tcBorders>
              <w:top w:val="single" w:color="000000" w:sz="4" w:space="0"/>
              <w:left w:val="single" w:color="auto" w:sz="4" w:space="0"/>
              <w:bottom w:val="single" w:color="000000" w:sz="4" w:space="0"/>
              <w:right w:val="single" w:color="000000" w:sz="4" w:space="0"/>
            </w:tcBorders>
            <w:vAlign w:val="center"/>
          </w:tcPr>
          <w:p w14:paraId="7DD2A38F">
            <w:pPr>
              <w:pStyle w:val="5"/>
              <w:spacing w:line="400" w:lineRule="exact"/>
              <w:ind w:firstLine="0" w:firstLineChars="0"/>
              <w:jc w:val="center"/>
              <w:rPr>
                <w:rFonts w:hint="eastAsia" w:ascii="宋体" w:hAnsi="宋体" w:eastAsia="宋体" w:cs="宋体"/>
                <w:sz w:val="24"/>
                <w:lang w:eastAsia="zh-CN"/>
              </w:rPr>
            </w:pPr>
            <w:r>
              <w:rPr>
                <w:rFonts w:hint="eastAsia" w:ascii="宋体" w:hAnsi="宋体" w:cs="宋体"/>
                <w:sz w:val="24"/>
                <w:lang w:eastAsia="zh-CN"/>
              </w:rPr>
              <w:t>福州职业技术学院数据中心机房设备维护采购项目</w:t>
            </w:r>
          </w:p>
        </w:tc>
        <w:tc>
          <w:tcPr>
            <w:tcW w:w="641" w:type="pct"/>
            <w:tcBorders>
              <w:top w:val="single" w:color="000000" w:sz="4" w:space="0"/>
              <w:left w:val="single" w:color="000000" w:sz="4" w:space="0"/>
              <w:bottom w:val="single" w:color="000000" w:sz="4" w:space="0"/>
              <w:right w:val="single" w:color="000000" w:sz="4" w:space="0"/>
            </w:tcBorders>
            <w:vAlign w:val="center"/>
          </w:tcPr>
          <w:p w14:paraId="059B04EE">
            <w:pPr>
              <w:widowControl/>
              <w:jc w:val="center"/>
              <w:textAlignment w:val="center"/>
              <w:rPr>
                <w:rFonts w:ascii="宋体" w:hAnsi="宋体" w:cs="宋体"/>
                <w:sz w:val="24"/>
              </w:rPr>
            </w:pPr>
            <w:r>
              <w:rPr>
                <w:rFonts w:ascii="宋体" w:hAnsi="宋体" w:cs="宋体"/>
                <w:color w:val="auto"/>
                <w:kern w:val="0"/>
                <w:sz w:val="24"/>
                <w:lang w:bidi="ar"/>
              </w:rPr>
              <w:t>1</w:t>
            </w:r>
            <w:r>
              <w:rPr>
                <w:rFonts w:hint="eastAsia" w:ascii="宋体" w:hAnsi="宋体" w:cs="宋体"/>
                <w:color w:val="auto"/>
                <w:kern w:val="0"/>
                <w:sz w:val="24"/>
                <w:lang w:bidi="ar"/>
              </w:rPr>
              <w:t>项</w:t>
            </w:r>
          </w:p>
        </w:tc>
        <w:tc>
          <w:tcPr>
            <w:tcW w:w="739" w:type="pct"/>
            <w:tcBorders>
              <w:top w:val="single" w:color="000000" w:sz="4" w:space="0"/>
              <w:left w:val="single" w:color="000000" w:sz="4" w:space="0"/>
              <w:bottom w:val="single" w:color="000000" w:sz="4" w:space="0"/>
              <w:right w:val="single" w:color="000000" w:sz="4" w:space="0"/>
            </w:tcBorders>
            <w:vAlign w:val="center"/>
          </w:tcPr>
          <w:p w14:paraId="657EE8CE">
            <w:pPr>
              <w:widowControl/>
              <w:jc w:val="center"/>
              <w:textAlignment w:val="center"/>
              <w:rPr>
                <w:rStyle w:val="26"/>
                <w:rFonts w:ascii="宋体" w:hAnsi="宋体" w:cs="宋体"/>
                <w:color w:val="000000" w:themeColor="text1"/>
                <w:spacing w:val="-11"/>
                <w:sz w:val="24"/>
                <w14:textFill>
                  <w14:solidFill>
                    <w14:schemeClr w14:val="tx1"/>
                  </w14:solidFill>
                </w14:textFill>
              </w:rPr>
            </w:pPr>
          </w:p>
        </w:tc>
        <w:tc>
          <w:tcPr>
            <w:tcW w:w="637" w:type="pct"/>
            <w:vMerge w:val="restart"/>
            <w:tcBorders>
              <w:top w:val="single" w:color="000000" w:sz="4" w:space="0"/>
              <w:left w:val="single" w:color="000000" w:sz="4" w:space="0"/>
              <w:right w:val="single" w:color="000000" w:sz="4" w:space="0"/>
            </w:tcBorders>
            <w:vAlign w:val="center"/>
          </w:tcPr>
          <w:p w14:paraId="1DD431A7">
            <w:pPr>
              <w:snapToGrid w:val="0"/>
              <w:spacing w:line="500" w:lineRule="exact"/>
              <w:jc w:val="center"/>
              <w:rPr>
                <w:rStyle w:val="26"/>
                <w:rFonts w:ascii="宋体" w:hAnsi="宋体" w:cs="宋体"/>
                <w:color w:val="000000" w:themeColor="text1"/>
                <w:spacing w:val="-11"/>
                <w:sz w:val="24"/>
                <w14:textFill>
                  <w14:solidFill>
                    <w14:schemeClr w14:val="tx1"/>
                  </w14:solidFill>
                </w14:textFill>
              </w:rPr>
            </w:pPr>
          </w:p>
        </w:tc>
      </w:tr>
      <w:tr w14:paraId="1040F1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000" w:type="pct"/>
            <w:gridSpan w:val="6"/>
            <w:tcBorders>
              <w:top w:val="single" w:color="000000" w:sz="4" w:space="0"/>
              <w:left w:val="single" w:color="000000" w:sz="4" w:space="0"/>
              <w:bottom w:val="single" w:color="000000" w:sz="4" w:space="0"/>
              <w:right w:val="single" w:color="000000" w:sz="4" w:space="0"/>
            </w:tcBorders>
            <w:vAlign w:val="center"/>
          </w:tcPr>
          <w:p w14:paraId="7DE87F59">
            <w:pPr>
              <w:spacing w:line="500" w:lineRule="exact"/>
              <w:jc w:val="left"/>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投标总金额大写：</w:t>
            </w:r>
          </w:p>
          <w:p w14:paraId="63528CFA">
            <w:pPr>
              <w:spacing w:line="500" w:lineRule="exact"/>
              <w:jc w:val="left"/>
              <w:rPr>
                <w:rStyle w:val="26"/>
                <w:rFonts w:ascii="宋体" w:hAnsi="宋体" w:cs="宋体"/>
                <w:color w:val="000000" w:themeColor="text1"/>
                <w:spacing w:val="-1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小写：</w:t>
            </w:r>
          </w:p>
        </w:tc>
      </w:tr>
    </w:tbl>
    <w:p w14:paraId="16856AAF">
      <w:pPr>
        <w:spacing w:line="500" w:lineRule="exact"/>
        <w:ind w:firstLine="3240" w:firstLineChars="1350"/>
        <w:jc w:val="left"/>
        <w:rPr>
          <w:rStyle w:val="26"/>
          <w:rFonts w:ascii="宋体" w:hAnsi="宋体" w:cs="宋体"/>
          <w:color w:val="000000" w:themeColor="text1"/>
          <w:sz w:val="24"/>
          <w14:textFill>
            <w14:solidFill>
              <w14:schemeClr w14:val="tx1"/>
            </w14:solidFill>
          </w14:textFill>
        </w:rPr>
      </w:pPr>
    </w:p>
    <w:p w14:paraId="23B5B96F">
      <w:pPr>
        <w:spacing w:line="500" w:lineRule="exact"/>
        <w:ind w:firstLine="3240" w:firstLineChars="1350"/>
        <w:jc w:val="left"/>
        <w:rPr>
          <w:rStyle w:val="26"/>
          <w:rFonts w:ascii="宋体" w:hAnsi="宋体" w:cs="宋体"/>
          <w:color w:val="000000" w:themeColor="text1"/>
          <w:sz w:val="24"/>
          <w14:textFill>
            <w14:solidFill>
              <w14:schemeClr w14:val="tx1"/>
            </w14:solidFill>
          </w14:textFill>
        </w:rPr>
      </w:pPr>
      <w:r>
        <w:rPr>
          <w:rStyle w:val="26"/>
          <w:rFonts w:hint="eastAsia" w:ascii="宋体" w:hAnsi="宋体" w:cs="宋体"/>
          <w:color w:val="000000" w:themeColor="text1"/>
          <w:sz w:val="24"/>
          <w14:textFill>
            <w14:solidFill>
              <w14:schemeClr w14:val="tx1"/>
            </w14:solidFill>
          </w14:textFill>
        </w:rPr>
        <w:t>竞价供应商(全称并加盖公章)：</w:t>
      </w:r>
    </w:p>
    <w:p w14:paraId="3F3420A0">
      <w:pPr>
        <w:spacing w:line="500" w:lineRule="exact"/>
        <w:ind w:firstLine="3240" w:firstLineChars="1350"/>
        <w:jc w:val="left"/>
        <w:rPr>
          <w:rStyle w:val="26"/>
          <w:rFonts w:ascii="宋体" w:hAnsi="宋体" w:cs="宋体"/>
          <w:color w:val="000000" w:themeColor="text1"/>
          <w:sz w:val="24"/>
          <w14:textFill>
            <w14:solidFill>
              <w14:schemeClr w14:val="tx1"/>
            </w14:solidFill>
          </w14:textFill>
        </w:rPr>
      </w:pPr>
      <w:r>
        <w:rPr>
          <w:rStyle w:val="26"/>
          <w:rFonts w:hint="eastAsia" w:ascii="宋体" w:hAnsi="宋体" w:cs="宋体"/>
          <w:color w:val="000000" w:themeColor="text1"/>
          <w:sz w:val="24"/>
          <w14:textFill>
            <w14:solidFill>
              <w14:schemeClr w14:val="tx1"/>
            </w14:solidFill>
          </w14:textFill>
        </w:rPr>
        <w:t>竞价供应商代表签字：</w:t>
      </w:r>
    </w:p>
    <w:p w14:paraId="7AA3B4D2">
      <w:pPr>
        <w:spacing w:line="500" w:lineRule="exact"/>
        <w:ind w:firstLine="3240" w:firstLineChars="1350"/>
        <w:jc w:val="left"/>
        <w:rPr>
          <w:rStyle w:val="26"/>
          <w:rFonts w:ascii="宋体" w:hAnsi="宋体" w:cs="宋体"/>
          <w:color w:val="000000" w:themeColor="text1"/>
          <w:sz w:val="24"/>
          <w14:textFill>
            <w14:solidFill>
              <w14:schemeClr w14:val="tx1"/>
            </w14:solidFill>
          </w14:textFill>
        </w:rPr>
      </w:pPr>
      <w:r>
        <w:rPr>
          <w:rStyle w:val="26"/>
          <w:rFonts w:hint="eastAsia" w:ascii="宋体" w:hAnsi="宋体" w:cs="宋体"/>
          <w:color w:val="000000" w:themeColor="text1"/>
          <w:sz w:val="24"/>
          <w14:textFill>
            <w14:solidFill>
              <w14:schemeClr w14:val="tx1"/>
            </w14:solidFill>
          </w14:textFill>
        </w:rPr>
        <w:t>日期：</w:t>
      </w:r>
    </w:p>
    <w:sectPr>
      <w:headerReference r:id="rId4" w:type="first"/>
      <w:footerReference r:id="rId6" w:type="first"/>
      <w:headerReference r:id="rId3" w:type="default"/>
      <w:footerReference r:id="rId5" w:type="default"/>
      <w:pgSz w:w="11906" w:h="16838"/>
      <w:pgMar w:top="1247" w:right="924" w:bottom="1089" w:left="1259" w:header="471" w:footer="709" w:gutter="0"/>
      <w:cols w:space="425"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modern"/>
    <w:pitch w:val="default"/>
    <w:sig w:usb0="00000003" w:usb1="288F0000" w:usb2="00000006" w:usb3="00000000" w:csb0="00040001" w:csb1="00000000"/>
  </w:font>
  <w:font w:name="PMingLiU">
    <w:panose1 w:val="02020500000000000000"/>
    <w:charset w:val="88"/>
    <w:family w:val="auto"/>
    <w:pitch w:val="default"/>
    <w:sig w:usb0="A00002FF" w:usb1="28CFFCFA" w:usb2="00000016" w:usb3="00000000" w:csb0="001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幼圆">
    <w:panose1 w:val="0201050906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485826"/>
    </w:sdtPr>
    <w:sdtContent>
      <w:p w14:paraId="0110EF3E">
        <w:pPr>
          <w:pStyle w:val="13"/>
          <w:jc w:val="center"/>
        </w:pPr>
        <w:r>
          <w:fldChar w:fldCharType="begin"/>
        </w:r>
        <w:r>
          <w:instrText xml:space="preserve"> PAGE   \* MERGEFORMAT </w:instrText>
        </w:r>
        <w:r>
          <w:fldChar w:fldCharType="separate"/>
        </w:r>
        <w:r>
          <w:rPr>
            <w:lang w:val="zh-CN"/>
          </w:rPr>
          <w:t>2</w:t>
        </w:r>
        <w:r>
          <w:rPr>
            <w:lang w:val="zh-CN"/>
          </w:rPr>
          <w:fldChar w:fldCharType="end"/>
        </w:r>
      </w:p>
    </w:sdtContent>
  </w:sdt>
  <w:p w14:paraId="678B450C">
    <w:pPr>
      <w:pStyle w:val="13"/>
      <w:rPr>
        <w:rStyle w:val="2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9BF48">
    <w:pPr>
      <w:pStyle w:val="13"/>
      <w:jc w:val="center"/>
      <w:rPr>
        <w:rStyle w:val="26"/>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3ED9564">
                          <w:pPr>
                            <w:pStyle w:val="13"/>
                            <w:jc w:val="center"/>
                            <w:rPr>
                              <w:rStyle w:val="26"/>
                            </w:rPr>
                          </w:pPr>
                        </w:p>
                        <w:p w14:paraId="713AA590">
                          <w:pPr>
                            <w:rPr>
                              <w:rStyle w:val="26"/>
                            </w:rPr>
                          </w:pPr>
                        </w:p>
                      </w:txbxContent>
                    </wps:txbx>
                    <wps:bodyPr lIns="0" tIns="0" rIns="0" bIns="0" upright="1"/>
                  </wps:wsp>
                </a:graphicData>
              </a:graphic>
            </wp:anchor>
          </w:drawing>
        </mc:Choice>
        <mc:Fallback>
          <w:pict>
            <v:shape id="文本框 1027" o:spid="_x0000_s1026" o:spt="202" type="#_x0000_t202"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ZpPZA0gAAAAUBAAAPAAAAAAAAAAEAIAAAACIAAABkcnMvZG93bnJldi54bWxQSwECFAAUAAAA&#10;CACHTuJAD5RA1bsBAACEAwAADgAAAAAAAAABACAAAAAhAQAAZHJzL2Uyb0RvYy54bWxQSwUGAAAA&#10;AAYABgBZAQAATgUAAAAA&#10;">
              <v:fill on="f" focussize="0,0"/>
              <v:stroke on="f"/>
              <v:imagedata o:title=""/>
              <o:lock v:ext="edit" aspectratio="f"/>
              <v:textbox inset="0mm,0mm,0mm,0mm">
                <w:txbxContent>
                  <w:p w14:paraId="53ED9564">
                    <w:pPr>
                      <w:pStyle w:val="13"/>
                      <w:jc w:val="center"/>
                      <w:rPr>
                        <w:rStyle w:val="26"/>
                      </w:rPr>
                    </w:pPr>
                  </w:p>
                  <w:p w14:paraId="713AA590">
                    <w:pPr>
                      <w:rPr>
                        <w:rStyle w:val="26"/>
                      </w:rPr>
                    </w:pPr>
                  </w:p>
                </w:txbxContent>
              </v:textbox>
            </v:shape>
          </w:pict>
        </mc:Fallback>
      </mc:AlternateContent>
    </w:r>
  </w:p>
  <w:p w14:paraId="41668231">
    <w:pPr>
      <w:pStyle w:val="13"/>
      <w:rPr>
        <w:rStyle w:val="26"/>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785FA">
    <w:pPr>
      <w:pStyle w:val="15"/>
      <w:pBdr>
        <w:bottom w:val="single" w:color="000000" w:sz="6" w:space="0"/>
      </w:pBdr>
      <w:tabs>
        <w:tab w:val="center" w:pos="4535"/>
        <w:tab w:val="left" w:pos="5100"/>
        <w:tab w:val="left" w:pos="5685"/>
      </w:tabs>
      <w:jc w:val="left"/>
      <w:rPr>
        <w:rStyle w:val="26"/>
        <w:rFonts w:ascii="宋体" w:hAnsi="宋体"/>
        <w:sz w:val="21"/>
        <w:szCs w:val="21"/>
      </w:rPr>
    </w:pPr>
    <w:r>
      <w:rPr>
        <w:rStyle w:val="26"/>
        <w:rFonts w:ascii="宋体" w:hAnsi="宋体"/>
        <w:sz w:val="21"/>
        <w:szCs w:val="21"/>
      </w:rPr>
      <w:t xml:space="preserve">福建国诚招标有限公司                                     </w:t>
    </w:r>
    <w:r>
      <w:rPr>
        <w:rStyle w:val="26"/>
        <w:rFonts w:hint="eastAsia" w:ascii="宋体" w:hAnsi="宋体"/>
        <w:sz w:val="21"/>
        <w:szCs w:val="21"/>
      </w:rPr>
      <w:t xml:space="preserve">                      </w:t>
    </w:r>
    <w:r>
      <w:rPr>
        <w:rStyle w:val="26"/>
        <w:rFonts w:ascii="宋体" w:hAnsi="宋体"/>
        <w:sz w:val="21"/>
        <w:szCs w:val="21"/>
      </w:rPr>
      <w:t>网上竞价文件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5035F">
    <w:pPr>
      <w:pStyle w:val="15"/>
      <w:jc w:val="left"/>
      <w:rPr>
        <w:rStyle w:val="26"/>
      </w:rPr>
    </w:pPr>
    <w:r>
      <w:rPr>
        <w:rStyle w:val="26"/>
        <w:rFonts w:ascii="宋体" w:hAnsi="宋体"/>
        <w:sz w:val="21"/>
        <w:szCs w:val="21"/>
      </w:rPr>
      <w:t>福建</w:t>
    </w:r>
    <w:r>
      <w:rPr>
        <w:rStyle w:val="26"/>
        <w:rFonts w:hint="eastAsia" w:ascii="宋体" w:hAnsi="宋体"/>
        <w:sz w:val="21"/>
        <w:szCs w:val="21"/>
      </w:rPr>
      <w:t>国诚</w:t>
    </w:r>
    <w:r>
      <w:rPr>
        <w:rStyle w:val="26"/>
        <w:rFonts w:ascii="宋体" w:hAnsi="宋体"/>
        <w:sz w:val="21"/>
        <w:szCs w:val="21"/>
      </w:rPr>
      <w:t xml:space="preserve">招标有限公司                 </w:t>
    </w:r>
    <w:r>
      <w:rPr>
        <w:rStyle w:val="26"/>
        <w:rFonts w:hint="eastAsia" w:ascii="宋体" w:hAnsi="宋体"/>
        <w:sz w:val="21"/>
        <w:szCs w:val="21"/>
      </w:rPr>
      <w:t xml:space="preserve">               </w:t>
    </w:r>
    <w:r>
      <w:rPr>
        <w:rStyle w:val="26"/>
        <w:rFonts w:ascii="宋体" w:hAnsi="宋体"/>
        <w:sz w:val="21"/>
        <w:szCs w:val="21"/>
      </w:rPr>
      <w:t xml:space="preserve">                         网上竞价文件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2135D0"/>
    <w:multiLevelType w:val="singleLevel"/>
    <w:tmpl w:val="252135D0"/>
    <w:lvl w:ilvl="0" w:tentative="0">
      <w:start w:val="1"/>
      <w:numFmt w:val="decimalEnclosedCircleChinese"/>
      <w:suff w:val="nothing"/>
      <w:lvlText w:val="%1　"/>
      <w:lvlJc w:val="left"/>
      <w:pPr>
        <w:ind w:left="0" w:firstLine="400"/>
      </w:pPr>
      <w:rPr>
        <w:rFonts w:hint="eastAsia"/>
      </w:rPr>
    </w:lvl>
  </w:abstractNum>
  <w:abstractNum w:abstractNumId="1">
    <w:nsid w:val="26EE0672"/>
    <w:multiLevelType w:val="multilevel"/>
    <w:tmpl w:val="26EE0672"/>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284" w:firstLine="0"/>
      </w:pPr>
      <w:rPr>
        <w:rFonts w:hint="eastAsia"/>
        <w:color w:val="000000" w:themeColor="text1"/>
        <w14:textFill>
          <w14:solidFill>
            <w14:schemeClr w14:val="tx1"/>
          </w14:solidFill>
        </w14:textFill>
      </w:rPr>
    </w:lvl>
    <w:lvl w:ilvl="2" w:tentative="0">
      <w:start w:val="1"/>
      <w:numFmt w:val="decimal"/>
      <w:suff w:val="nothing"/>
      <w:lvlText w:val="%3．"/>
      <w:lvlJc w:val="left"/>
      <w:pPr>
        <w:ind w:left="2436" w:firstLine="400"/>
      </w:pPr>
      <w:rPr>
        <w:rFonts w:hint="eastAsia"/>
      </w:rPr>
    </w:lvl>
    <w:lvl w:ilvl="3" w:tentative="0">
      <w:start w:val="1"/>
      <w:numFmt w:val="decimal"/>
      <w:pStyle w:val="4"/>
      <w:suff w:val="nothing"/>
      <w:lvlText w:val="（%4）"/>
      <w:lvlJc w:val="left"/>
      <w:pPr>
        <w:ind w:left="438"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2">
    <w:nsid w:val="3C5C317A"/>
    <w:multiLevelType w:val="singleLevel"/>
    <w:tmpl w:val="3C5C317A"/>
    <w:lvl w:ilvl="0" w:tentative="0">
      <w:start w:val="1"/>
      <w:numFmt w:val="decimal"/>
      <w:lvlText w:val="(%1)"/>
      <w:lvlJc w:val="left"/>
      <w:pPr>
        <w:ind w:left="425" w:hanging="425"/>
      </w:pPr>
      <w:rPr>
        <w:rFonts w:hint="default"/>
      </w:rPr>
    </w:lvl>
  </w:abstractNum>
  <w:abstractNum w:abstractNumId="3">
    <w:nsid w:val="409CE34B"/>
    <w:multiLevelType w:val="singleLevel"/>
    <w:tmpl w:val="409CE34B"/>
    <w:lvl w:ilvl="0" w:tentative="0">
      <w:start w:val="1"/>
      <w:numFmt w:val="bullet"/>
      <w:lvlText w:val=""/>
      <w:lvlJc w:val="left"/>
      <w:pPr>
        <w:ind w:left="420" w:hanging="420"/>
      </w:pPr>
      <w:rPr>
        <w:rFonts w:hint="default" w:ascii="Wingdings" w:hAnsi="Wingdings"/>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doNotCompress"/>
  <w:compat>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ZhMDgxM2ExYzQ1OWEzMGMzNTlhZDYyZjI5NzA0NmIifQ=="/>
  </w:docVars>
  <w:rsids>
    <w:rsidRoot w:val="00F44F45"/>
    <w:rsid w:val="00000D4C"/>
    <w:rsid w:val="00001CC1"/>
    <w:rsid w:val="000141E7"/>
    <w:rsid w:val="000153D5"/>
    <w:rsid w:val="000157A7"/>
    <w:rsid w:val="00015F02"/>
    <w:rsid w:val="000246B5"/>
    <w:rsid w:val="0004059C"/>
    <w:rsid w:val="00040AF9"/>
    <w:rsid w:val="000416A3"/>
    <w:rsid w:val="00045526"/>
    <w:rsid w:val="0005269D"/>
    <w:rsid w:val="00054739"/>
    <w:rsid w:val="00056FBA"/>
    <w:rsid w:val="00067B56"/>
    <w:rsid w:val="0007622B"/>
    <w:rsid w:val="000764DD"/>
    <w:rsid w:val="00081B98"/>
    <w:rsid w:val="00082056"/>
    <w:rsid w:val="000851E5"/>
    <w:rsid w:val="000854AD"/>
    <w:rsid w:val="00086A02"/>
    <w:rsid w:val="00087ED6"/>
    <w:rsid w:val="00094376"/>
    <w:rsid w:val="000A0083"/>
    <w:rsid w:val="000A1606"/>
    <w:rsid w:val="000A646C"/>
    <w:rsid w:val="000B6D6E"/>
    <w:rsid w:val="000C2270"/>
    <w:rsid w:val="000C310A"/>
    <w:rsid w:val="000C696E"/>
    <w:rsid w:val="000D327F"/>
    <w:rsid w:val="000D6FF7"/>
    <w:rsid w:val="000E22C8"/>
    <w:rsid w:val="000E5885"/>
    <w:rsid w:val="000E70CA"/>
    <w:rsid w:val="000F6188"/>
    <w:rsid w:val="00101352"/>
    <w:rsid w:val="00117BE9"/>
    <w:rsid w:val="00120343"/>
    <w:rsid w:val="00120AB8"/>
    <w:rsid w:val="00121A9A"/>
    <w:rsid w:val="00127F13"/>
    <w:rsid w:val="00137197"/>
    <w:rsid w:val="00137527"/>
    <w:rsid w:val="001411E2"/>
    <w:rsid w:val="00152D3F"/>
    <w:rsid w:val="00153571"/>
    <w:rsid w:val="00165748"/>
    <w:rsid w:val="001706DD"/>
    <w:rsid w:val="00170DBB"/>
    <w:rsid w:val="00171E62"/>
    <w:rsid w:val="00182686"/>
    <w:rsid w:val="001862C3"/>
    <w:rsid w:val="001A5A53"/>
    <w:rsid w:val="001B22B7"/>
    <w:rsid w:val="001B6C8B"/>
    <w:rsid w:val="001C5B1A"/>
    <w:rsid w:val="001D22FA"/>
    <w:rsid w:val="001D7B3E"/>
    <w:rsid w:val="001E5B8E"/>
    <w:rsid w:val="001E66D7"/>
    <w:rsid w:val="001F01E1"/>
    <w:rsid w:val="001F24A6"/>
    <w:rsid w:val="001F33A6"/>
    <w:rsid w:val="00210BC5"/>
    <w:rsid w:val="00214B0E"/>
    <w:rsid w:val="002163C4"/>
    <w:rsid w:val="002169D3"/>
    <w:rsid w:val="0022726A"/>
    <w:rsid w:val="0023193C"/>
    <w:rsid w:val="00237F65"/>
    <w:rsid w:val="002421E5"/>
    <w:rsid w:val="00245C7C"/>
    <w:rsid w:val="00245F88"/>
    <w:rsid w:val="00247A78"/>
    <w:rsid w:val="00247ED2"/>
    <w:rsid w:val="00250E6B"/>
    <w:rsid w:val="00255AF7"/>
    <w:rsid w:val="00262074"/>
    <w:rsid w:val="00263070"/>
    <w:rsid w:val="00270A0B"/>
    <w:rsid w:val="00271247"/>
    <w:rsid w:val="00283D41"/>
    <w:rsid w:val="00293B7B"/>
    <w:rsid w:val="002A41DA"/>
    <w:rsid w:val="002B3A0F"/>
    <w:rsid w:val="002C2C57"/>
    <w:rsid w:val="002D0F34"/>
    <w:rsid w:val="002D54FB"/>
    <w:rsid w:val="002D631F"/>
    <w:rsid w:val="002D68B7"/>
    <w:rsid w:val="002D7230"/>
    <w:rsid w:val="002E6042"/>
    <w:rsid w:val="002E7F9A"/>
    <w:rsid w:val="002F5851"/>
    <w:rsid w:val="002F6E83"/>
    <w:rsid w:val="002F72F8"/>
    <w:rsid w:val="0030751C"/>
    <w:rsid w:val="00322B70"/>
    <w:rsid w:val="003230EC"/>
    <w:rsid w:val="00326D27"/>
    <w:rsid w:val="00345661"/>
    <w:rsid w:val="003468FD"/>
    <w:rsid w:val="003530E1"/>
    <w:rsid w:val="003678A1"/>
    <w:rsid w:val="00367C6C"/>
    <w:rsid w:val="003766C3"/>
    <w:rsid w:val="003809AE"/>
    <w:rsid w:val="003837A9"/>
    <w:rsid w:val="00384E73"/>
    <w:rsid w:val="00386BD0"/>
    <w:rsid w:val="00390E77"/>
    <w:rsid w:val="0039280D"/>
    <w:rsid w:val="00392FE0"/>
    <w:rsid w:val="00394EB0"/>
    <w:rsid w:val="003A0FF6"/>
    <w:rsid w:val="003A3B5D"/>
    <w:rsid w:val="003A4986"/>
    <w:rsid w:val="003A5603"/>
    <w:rsid w:val="003A6214"/>
    <w:rsid w:val="003B04EA"/>
    <w:rsid w:val="003B5652"/>
    <w:rsid w:val="003B596B"/>
    <w:rsid w:val="003B7170"/>
    <w:rsid w:val="003B75E2"/>
    <w:rsid w:val="003D0107"/>
    <w:rsid w:val="003D35FC"/>
    <w:rsid w:val="003D7DA1"/>
    <w:rsid w:val="003E314F"/>
    <w:rsid w:val="003F0796"/>
    <w:rsid w:val="003F4446"/>
    <w:rsid w:val="003F4783"/>
    <w:rsid w:val="00402DC7"/>
    <w:rsid w:val="004114A8"/>
    <w:rsid w:val="004118DA"/>
    <w:rsid w:val="00416BD9"/>
    <w:rsid w:val="00424917"/>
    <w:rsid w:val="00424B4B"/>
    <w:rsid w:val="00427E65"/>
    <w:rsid w:val="0043324B"/>
    <w:rsid w:val="00434255"/>
    <w:rsid w:val="00437D0D"/>
    <w:rsid w:val="00453199"/>
    <w:rsid w:val="00462268"/>
    <w:rsid w:val="00463028"/>
    <w:rsid w:val="00464393"/>
    <w:rsid w:val="00465FD3"/>
    <w:rsid w:val="004732F3"/>
    <w:rsid w:val="0047507F"/>
    <w:rsid w:val="00476D0C"/>
    <w:rsid w:val="00477E8E"/>
    <w:rsid w:val="00480B2F"/>
    <w:rsid w:val="004816AA"/>
    <w:rsid w:val="00483C80"/>
    <w:rsid w:val="0048519A"/>
    <w:rsid w:val="004859F2"/>
    <w:rsid w:val="004919CD"/>
    <w:rsid w:val="0049477D"/>
    <w:rsid w:val="004A43BB"/>
    <w:rsid w:val="004A67FD"/>
    <w:rsid w:val="004B1A27"/>
    <w:rsid w:val="004B1E3A"/>
    <w:rsid w:val="004B4C05"/>
    <w:rsid w:val="004C31A2"/>
    <w:rsid w:val="004D359C"/>
    <w:rsid w:val="004E0F24"/>
    <w:rsid w:val="004E6BB8"/>
    <w:rsid w:val="004F2946"/>
    <w:rsid w:val="004F2B0A"/>
    <w:rsid w:val="0050103C"/>
    <w:rsid w:val="00511AA1"/>
    <w:rsid w:val="005224B7"/>
    <w:rsid w:val="005233B3"/>
    <w:rsid w:val="00524CAD"/>
    <w:rsid w:val="00527112"/>
    <w:rsid w:val="0053202B"/>
    <w:rsid w:val="005430FE"/>
    <w:rsid w:val="00543BF2"/>
    <w:rsid w:val="00544347"/>
    <w:rsid w:val="00545FDF"/>
    <w:rsid w:val="00552691"/>
    <w:rsid w:val="005539E8"/>
    <w:rsid w:val="00562975"/>
    <w:rsid w:val="00562DD3"/>
    <w:rsid w:val="00564F45"/>
    <w:rsid w:val="005710EF"/>
    <w:rsid w:val="00572E12"/>
    <w:rsid w:val="00573E68"/>
    <w:rsid w:val="00574913"/>
    <w:rsid w:val="00577664"/>
    <w:rsid w:val="0057793C"/>
    <w:rsid w:val="00581108"/>
    <w:rsid w:val="0058132C"/>
    <w:rsid w:val="0058365D"/>
    <w:rsid w:val="00583C08"/>
    <w:rsid w:val="00583F2D"/>
    <w:rsid w:val="0058413C"/>
    <w:rsid w:val="0059123E"/>
    <w:rsid w:val="00592E59"/>
    <w:rsid w:val="005943E7"/>
    <w:rsid w:val="00594E16"/>
    <w:rsid w:val="005955F5"/>
    <w:rsid w:val="00596874"/>
    <w:rsid w:val="005B133D"/>
    <w:rsid w:val="005B1379"/>
    <w:rsid w:val="005B52E2"/>
    <w:rsid w:val="005B594C"/>
    <w:rsid w:val="005B7269"/>
    <w:rsid w:val="005C1BE1"/>
    <w:rsid w:val="005C5478"/>
    <w:rsid w:val="005D065A"/>
    <w:rsid w:val="005D60CA"/>
    <w:rsid w:val="005D7906"/>
    <w:rsid w:val="005E182C"/>
    <w:rsid w:val="005E4194"/>
    <w:rsid w:val="005F3209"/>
    <w:rsid w:val="006019F4"/>
    <w:rsid w:val="006206CF"/>
    <w:rsid w:val="0062732F"/>
    <w:rsid w:val="0063059B"/>
    <w:rsid w:val="00636B1D"/>
    <w:rsid w:val="00644B6F"/>
    <w:rsid w:val="006532F7"/>
    <w:rsid w:val="00663F20"/>
    <w:rsid w:val="00665C08"/>
    <w:rsid w:val="0067021B"/>
    <w:rsid w:val="00675416"/>
    <w:rsid w:val="00682273"/>
    <w:rsid w:val="00682D46"/>
    <w:rsid w:val="00683337"/>
    <w:rsid w:val="0068512D"/>
    <w:rsid w:val="006866C3"/>
    <w:rsid w:val="00687DDB"/>
    <w:rsid w:val="00693F31"/>
    <w:rsid w:val="006946E7"/>
    <w:rsid w:val="00694A3E"/>
    <w:rsid w:val="00697690"/>
    <w:rsid w:val="006A4CA4"/>
    <w:rsid w:val="006A6F3F"/>
    <w:rsid w:val="006B3C9F"/>
    <w:rsid w:val="006C48CB"/>
    <w:rsid w:val="006D1FDD"/>
    <w:rsid w:val="006E7BF2"/>
    <w:rsid w:val="006F6396"/>
    <w:rsid w:val="006F6849"/>
    <w:rsid w:val="00702C20"/>
    <w:rsid w:val="00705424"/>
    <w:rsid w:val="0071348C"/>
    <w:rsid w:val="00721C1F"/>
    <w:rsid w:val="007258D9"/>
    <w:rsid w:val="007369D1"/>
    <w:rsid w:val="007419C8"/>
    <w:rsid w:val="00746CBD"/>
    <w:rsid w:val="00763765"/>
    <w:rsid w:val="00764444"/>
    <w:rsid w:val="00772C95"/>
    <w:rsid w:val="00781315"/>
    <w:rsid w:val="00785686"/>
    <w:rsid w:val="00792A99"/>
    <w:rsid w:val="00796494"/>
    <w:rsid w:val="007970E4"/>
    <w:rsid w:val="007A2D8D"/>
    <w:rsid w:val="007A4805"/>
    <w:rsid w:val="007A6428"/>
    <w:rsid w:val="007B39AA"/>
    <w:rsid w:val="007B71DC"/>
    <w:rsid w:val="007C049B"/>
    <w:rsid w:val="007C0E22"/>
    <w:rsid w:val="007C2A7E"/>
    <w:rsid w:val="007C32CD"/>
    <w:rsid w:val="007D4B75"/>
    <w:rsid w:val="007D70AD"/>
    <w:rsid w:val="007F51CC"/>
    <w:rsid w:val="00800E59"/>
    <w:rsid w:val="00802BC3"/>
    <w:rsid w:val="008076ED"/>
    <w:rsid w:val="00810268"/>
    <w:rsid w:val="00811123"/>
    <w:rsid w:val="00812ED8"/>
    <w:rsid w:val="00815674"/>
    <w:rsid w:val="00831790"/>
    <w:rsid w:val="00835983"/>
    <w:rsid w:val="00842A3E"/>
    <w:rsid w:val="00860FCA"/>
    <w:rsid w:val="00866562"/>
    <w:rsid w:val="00867055"/>
    <w:rsid w:val="00870B8B"/>
    <w:rsid w:val="0087281D"/>
    <w:rsid w:val="008764AE"/>
    <w:rsid w:val="0087652F"/>
    <w:rsid w:val="00876DFC"/>
    <w:rsid w:val="00881E32"/>
    <w:rsid w:val="008850AF"/>
    <w:rsid w:val="00890988"/>
    <w:rsid w:val="008935E7"/>
    <w:rsid w:val="008972CB"/>
    <w:rsid w:val="008A1E4C"/>
    <w:rsid w:val="008A3937"/>
    <w:rsid w:val="008A3C3B"/>
    <w:rsid w:val="008B1274"/>
    <w:rsid w:val="008B158C"/>
    <w:rsid w:val="008B30D0"/>
    <w:rsid w:val="008B7D9C"/>
    <w:rsid w:val="008C10D4"/>
    <w:rsid w:val="008C1D28"/>
    <w:rsid w:val="008C5EF1"/>
    <w:rsid w:val="008E2095"/>
    <w:rsid w:val="008E6466"/>
    <w:rsid w:val="008E7C44"/>
    <w:rsid w:val="008F4461"/>
    <w:rsid w:val="00900BE7"/>
    <w:rsid w:val="009023B1"/>
    <w:rsid w:val="00902995"/>
    <w:rsid w:val="009033E3"/>
    <w:rsid w:val="0091101E"/>
    <w:rsid w:val="00911B6B"/>
    <w:rsid w:val="00913A25"/>
    <w:rsid w:val="00930A27"/>
    <w:rsid w:val="00934FEA"/>
    <w:rsid w:val="0093651A"/>
    <w:rsid w:val="009370BE"/>
    <w:rsid w:val="0094345A"/>
    <w:rsid w:val="00945E7D"/>
    <w:rsid w:val="009518E7"/>
    <w:rsid w:val="00951935"/>
    <w:rsid w:val="00956BFB"/>
    <w:rsid w:val="00957DB0"/>
    <w:rsid w:val="00970192"/>
    <w:rsid w:val="009771B9"/>
    <w:rsid w:val="00983245"/>
    <w:rsid w:val="00987007"/>
    <w:rsid w:val="009A07E8"/>
    <w:rsid w:val="009A113A"/>
    <w:rsid w:val="009A1719"/>
    <w:rsid w:val="009A588C"/>
    <w:rsid w:val="009B1111"/>
    <w:rsid w:val="009B7709"/>
    <w:rsid w:val="009C6B8C"/>
    <w:rsid w:val="009D4807"/>
    <w:rsid w:val="009D64B3"/>
    <w:rsid w:val="009E00F1"/>
    <w:rsid w:val="009F1CC2"/>
    <w:rsid w:val="00A0074E"/>
    <w:rsid w:val="00A07BF2"/>
    <w:rsid w:val="00A07FAE"/>
    <w:rsid w:val="00A103CA"/>
    <w:rsid w:val="00A21E7C"/>
    <w:rsid w:val="00A26605"/>
    <w:rsid w:val="00A26E8F"/>
    <w:rsid w:val="00A321B9"/>
    <w:rsid w:val="00A360BF"/>
    <w:rsid w:val="00A4194D"/>
    <w:rsid w:val="00A41A83"/>
    <w:rsid w:val="00A42DE4"/>
    <w:rsid w:val="00A43486"/>
    <w:rsid w:val="00A4362F"/>
    <w:rsid w:val="00A440DF"/>
    <w:rsid w:val="00A521B2"/>
    <w:rsid w:val="00A57F5D"/>
    <w:rsid w:val="00A62085"/>
    <w:rsid w:val="00A70E7A"/>
    <w:rsid w:val="00A72AA3"/>
    <w:rsid w:val="00A745C1"/>
    <w:rsid w:val="00A764FC"/>
    <w:rsid w:val="00A81794"/>
    <w:rsid w:val="00A82FB9"/>
    <w:rsid w:val="00A9009C"/>
    <w:rsid w:val="00AA006F"/>
    <w:rsid w:val="00AA5199"/>
    <w:rsid w:val="00AA7017"/>
    <w:rsid w:val="00AB3BF8"/>
    <w:rsid w:val="00AB6388"/>
    <w:rsid w:val="00AD22BF"/>
    <w:rsid w:val="00AD3A1E"/>
    <w:rsid w:val="00AD4AC5"/>
    <w:rsid w:val="00AE4FF3"/>
    <w:rsid w:val="00AF2EE0"/>
    <w:rsid w:val="00AF6AB8"/>
    <w:rsid w:val="00AF720C"/>
    <w:rsid w:val="00B00984"/>
    <w:rsid w:val="00B01418"/>
    <w:rsid w:val="00B13D2C"/>
    <w:rsid w:val="00B15E4E"/>
    <w:rsid w:val="00B23773"/>
    <w:rsid w:val="00B329D1"/>
    <w:rsid w:val="00B34C1A"/>
    <w:rsid w:val="00B40533"/>
    <w:rsid w:val="00B43BA2"/>
    <w:rsid w:val="00B473E8"/>
    <w:rsid w:val="00B51A06"/>
    <w:rsid w:val="00B5605E"/>
    <w:rsid w:val="00B63250"/>
    <w:rsid w:val="00B7195C"/>
    <w:rsid w:val="00B7708A"/>
    <w:rsid w:val="00B77510"/>
    <w:rsid w:val="00B8261C"/>
    <w:rsid w:val="00B862BD"/>
    <w:rsid w:val="00B86620"/>
    <w:rsid w:val="00B93DA9"/>
    <w:rsid w:val="00BB678A"/>
    <w:rsid w:val="00BB7789"/>
    <w:rsid w:val="00BC1BE3"/>
    <w:rsid w:val="00BC3E17"/>
    <w:rsid w:val="00BC60C3"/>
    <w:rsid w:val="00BC6C17"/>
    <w:rsid w:val="00BC74DB"/>
    <w:rsid w:val="00BD4C5E"/>
    <w:rsid w:val="00BE090F"/>
    <w:rsid w:val="00BE1316"/>
    <w:rsid w:val="00BE1FD5"/>
    <w:rsid w:val="00BF1004"/>
    <w:rsid w:val="00BF2D4F"/>
    <w:rsid w:val="00BF4761"/>
    <w:rsid w:val="00BF61A6"/>
    <w:rsid w:val="00BF6E64"/>
    <w:rsid w:val="00BF7306"/>
    <w:rsid w:val="00BF794E"/>
    <w:rsid w:val="00C0199F"/>
    <w:rsid w:val="00C04B99"/>
    <w:rsid w:val="00C06BE6"/>
    <w:rsid w:val="00C128E9"/>
    <w:rsid w:val="00C15212"/>
    <w:rsid w:val="00C2110C"/>
    <w:rsid w:val="00C21A90"/>
    <w:rsid w:val="00C2338A"/>
    <w:rsid w:val="00C41675"/>
    <w:rsid w:val="00C43A01"/>
    <w:rsid w:val="00C50198"/>
    <w:rsid w:val="00C53AFB"/>
    <w:rsid w:val="00C61BB0"/>
    <w:rsid w:val="00C66E3B"/>
    <w:rsid w:val="00C70110"/>
    <w:rsid w:val="00C73B4A"/>
    <w:rsid w:val="00C73FDD"/>
    <w:rsid w:val="00C74508"/>
    <w:rsid w:val="00C765F7"/>
    <w:rsid w:val="00C81D8C"/>
    <w:rsid w:val="00C840E0"/>
    <w:rsid w:val="00C876DB"/>
    <w:rsid w:val="00C906AA"/>
    <w:rsid w:val="00C9147E"/>
    <w:rsid w:val="00C968E0"/>
    <w:rsid w:val="00CA2F8E"/>
    <w:rsid w:val="00CA3544"/>
    <w:rsid w:val="00CB49FD"/>
    <w:rsid w:val="00CB54D1"/>
    <w:rsid w:val="00CB6888"/>
    <w:rsid w:val="00CC0390"/>
    <w:rsid w:val="00CC0771"/>
    <w:rsid w:val="00CC38D0"/>
    <w:rsid w:val="00CC49BB"/>
    <w:rsid w:val="00CC743F"/>
    <w:rsid w:val="00CD10E7"/>
    <w:rsid w:val="00CD2F0C"/>
    <w:rsid w:val="00CD436F"/>
    <w:rsid w:val="00CE1B68"/>
    <w:rsid w:val="00CE5B80"/>
    <w:rsid w:val="00CF0F83"/>
    <w:rsid w:val="00CF62B3"/>
    <w:rsid w:val="00CF744A"/>
    <w:rsid w:val="00D018E6"/>
    <w:rsid w:val="00D04AAB"/>
    <w:rsid w:val="00D07430"/>
    <w:rsid w:val="00D10047"/>
    <w:rsid w:val="00D12EA6"/>
    <w:rsid w:val="00D147DB"/>
    <w:rsid w:val="00D24050"/>
    <w:rsid w:val="00D26325"/>
    <w:rsid w:val="00D31F7E"/>
    <w:rsid w:val="00D4081C"/>
    <w:rsid w:val="00D4470B"/>
    <w:rsid w:val="00D6012C"/>
    <w:rsid w:val="00D67C08"/>
    <w:rsid w:val="00D703DD"/>
    <w:rsid w:val="00D74148"/>
    <w:rsid w:val="00D74549"/>
    <w:rsid w:val="00D8081F"/>
    <w:rsid w:val="00D85B1A"/>
    <w:rsid w:val="00D96498"/>
    <w:rsid w:val="00DA3185"/>
    <w:rsid w:val="00DA54A0"/>
    <w:rsid w:val="00DB2120"/>
    <w:rsid w:val="00DB336F"/>
    <w:rsid w:val="00DB7BDF"/>
    <w:rsid w:val="00DC0DF3"/>
    <w:rsid w:val="00DD10F7"/>
    <w:rsid w:val="00DD25EB"/>
    <w:rsid w:val="00DD5670"/>
    <w:rsid w:val="00DE1F66"/>
    <w:rsid w:val="00DE6D7F"/>
    <w:rsid w:val="00E10432"/>
    <w:rsid w:val="00E220F8"/>
    <w:rsid w:val="00E2293E"/>
    <w:rsid w:val="00E24D7A"/>
    <w:rsid w:val="00E33FB6"/>
    <w:rsid w:val="00E36312"/>
    <w:rsid w:val="00E36F78"/>
    <w:rsid w:val="00E442BB"/>
    <w:rsid w:val="00E50855"/>
    <w:rsid w:val="00E528DE"/>
    <w:rsid w:val="00E6701C"/>
    <w:rsid w:val="00E774A1"/>
    <w:rsid w:val="00E77584"/>
    <w:rsid w:val="00E82DA9"/>
    <w:rsid w:val="00E84334"/>
    <w:rsid w:val="00E87B9C"/>
    <w:rsid w:val="00E922C1"/>
    <w:rsid w:val="00E923B0"/>
    <w:rsid w:val="00E9375D"/>
    <w:rsid w:val="00E9670E"/>
    <w:rsid w:val="00EA029B"/>
    <w:rsid w:val="00EA4887"/>
    <w:rsid w:val="00ED21B9"/>
    <w:rsid w:val="00EE15B3"/>
    <w:rsid w:val="00EE207E"/>
    <w:rsid w:val="00EE2B04"/>
    <w:rsid w:val="00EE7234"/>
    <w:rsid w:val="00F03D93"/>
    <w:rsid w:val="00F06255"/>
    <w:rsid w:val="00F12C0A"/>
    <w:rsid w:val="00F1352D"/>
    <w:rsid w:val="00F14072"/>
    <w:rsid w:val="00F16C3F"/>
    <w:rsid w:val="00F21CB3"/>
    <w:rsid w:val="00F2224F"/>
    <w:rsid w:val="00F31532"/>
    <w:rsid w:val="00F34C17"/>
    <w:rsid w:val="00F34EAD"/>
    <w:rsid w:val="00F3658C"/>
    <w:rsid w:val="00F44F45"/>
    <w:rsid w:val="00F46D24"/>
    <w:rsid w:val="00F519EC"/>
    <w:rsid w:val="00F5223D"/>
    <w:rsid w:val="00F530E4"/>
    <w:rsid w:val="00F610CE"/>
    <w:rsid w:val="00F612F4"/>
    <w:rsid w:val="00F63CBD"/>
    <w:rsid w:val="00F64315"/>
    <w:rsid w:val="00F676DD"/>
    <w:rsid w:val="00F81DC4"/>
    <w:rsid w:val="00F90EE1"/>
    <w:rsid w:val="00F914A1"/>
    <w:rsid w:val="00F9181C"/>
    <w:rsid w:val="00FA0F4E"/>
    <w:rsid w:val="00FA211F"/>
    <w:rsid w:val="00FB5D79"/>
    <w:rsid w:val="00FC0AD5"/>
    <w:rsid w:val="00FC4BBC"/>
    <w:rsid w:val="00FC6EC7"/>
    <w:rsid w:val="00FC75FB"/>
    <w:rsid w:val="00FD1741"/>
    <w:rsid w:val="00FD20C9"/>
    <w:rsid w:val="00FD2BC9"/>
    <w:rsid w:val="00FD52CA"/>
    <w:rsid w:val="00FE2688"/>
    <w:rsid w:val="00FE4C4C"/>
    <w:rsid w:val="00FF047C"/>
    <w:rsid w:val="00FF0833"/>
    <w:rsid w:val="00FF121D"/>
    <w:rsid w:val="00FF43EE"/>
    <w:rsid w:val="00FF6138"/>
    <w:rsid w:val="00FF642B"/>
    <w:rsid w:val="019B36B5"/>
    <w:rsid w:val="02BB1E6D"/>
    <w:rsid w:val="03E80687"/>
    <w:rsid w:val="04310277"/>
    <w:rsid w:val="04EE7180"/>
    <w:rsid w:val="05733B70"/>
    <w:rsid w:val="06DD11B3"/>
    <w:rsid w:val="06FB6AC8"/>
    <w:rsid w:val="071050A7"/>
    <w:rsid w:val="08CB0D0B"/>
    <w:rsid w:val="08F118DA"/>
    <w:rsid w:val="097573CC"/>
    <w:rsid w:val="0A434865"/>
    <w:rsid w:val="0A6E6306"/>
    <w:rsid w:val="0AFB1BC7"/>
    <w:rsid w:val="0B247261"/>
    <w:rsid w:val="0B702BFC"/>
    <w:rsid w:val="0C9F232B"/>
    <w:rsid w:val="0D3B6EFC"/>
    <w:rsid w:val="0D9D76FF"/>
    <w:rsid w:val="1088122B"/>
    <w:rsid w:val="1479172F"/>
    <w:rsid w:val="14D01E4A"/>
    <w:rsid w:val="15C40D87"/>
    <w:rsid w:val="16EA2EE6"/>
    <w:rsid w:val="17347C07"/>
    <w:rsid w:val="189F4369"/>
    <w:rsid w:val="1D2B3667"/>
    <w:rsid w:val="1F410D1D"/>
    <w:rsid w:val="1F666BD8"/>
    <w:rsid w:val="205C1F2C"/>
    <w:rsid w:val="20A6423D"/>
    <w:rsid w:val="21A56676"/>
    <w:rsid w:val="21D84ED6"/>
    <w:rsid w:val="222F179D"/>
    <w:rsid w:val="22386D6C"/>
    <w:rsid w:val="23B714C6"/>
    <w:rsid w:val="246118A8"/>
    <w:rsid w:val="255C1C20"/>
    <w:rsid w:val="258231E5"/>
    <w:rsid w:val="26AA4A6B"/>
    <w:rsid w:val="270A14E4"/>
    <w:rsid w:val="276C3EAC"/>
    <w:rsid w:val="2A121864"/>
    <w:rsid w:val="2A343AB7"/>
    <w:rsid w:val="2A9507F7"/>
    <w:rsid w:val="2A9D585A"/>
    <w:rsid w:val="2AC60D8F"/>
    <w:rsid w:val="2BFC409B"/>
    <w:rsid w:val="2C5D5A84"/>
    <w:rsid w:val="2CED0D7D"/>
    <w:rsid w:val="2E471AB6"/>
    <w:rsid w:val="2F874D88"/>
    <w:rsid w:val="2FA77400"/>
    <w:rsid w:val="305E51F8"/>
    <w:rsid w:val="314920DA"/>
    <w:rsid w:val="3167139E"/>
    <w:rsid w:val="31EA555B"/>
    <w:rsid w:val="33FE123B"/>
    <w:rsid w:val="3462069D"/>
    <w:rsid w:val="34EE16F2"/>
    <w:rsid w:val="34F951CC"/>
    <w:rsid w:val="35690AFD"/>
    <w:rsid w:val="36E30B90"/>
    <w:rsid w:val="3A4E5731"/>
    <w:rsid w:val="3D655DE2"/>
    <w:rsid w:val="3D850F09"/>
    <w:rsid w:val="3DBE4B34"/>
    <w:rsid w:val="3DF54C9C"/>
    <w:rsid w:val="3E71572A"/>
    <w:rsid w:val="3EB0029C"/>
    <w:rsid w:val="401F555E"/>
    <w:rsid w:val="42173716"/>
    <w:rsid w:val="432B3B11"/>
    <w:rsid w:val="435C2D18"/>
    <w:rsid w:val="43C04259"/>
    <w:rsid w:val="44AD61FD"/>
    <w:rsid w:val="458A4B1F"/>
    <w:rsid w:val="46257B31"/>
    <w:rsid w:val="464F7E56"/>
    <w:rsid w:val="4698770F"/>
    <w:rsid w:val="47B61E19"/>
    <w:rsid w:val="4824595F"/>
    <w:rsid w:val="493F1504"/>
    <w:rsid w:val="494A4213"/>
    <w:rsid w:val="499A0307"/>
    <w:rsid w:val="4A657D51"/>
    <w:rsid w:val="4B1435DF"/>
    <w:rsid w:val="4C237FE7"/>
    <w:rsid w:val="4F6213A0"/>
    <w:rsid w:val="50040EE9"/>
    <w:rsid w:val="50745242"/>
    <w:rsid w:val="50EF69A8"/>
    <w:rsid w:val="515B7535"/>
    <w:rsid w:val="515C6A9F"/>
    <w:rsid w:val="531B76FE"/>
    <w:rsid w:val="53E2281F"/>
    <w:rsid w:val="5588161D"/>
    <w:rsid w:val="55D452CC"/>
    <w:rsid w:val="567B5335"/>
    <w:rsid w:val="56DE760C"/>
    <w:rsid w:val="58816255"/>
    <w:rsid w:val="58CC6F53"/>
    <w:rsid w:val="58CD4FF7"/>
    <w:rsid w:val="599B1EFD"/>
    <w:rsid w:val="59B2685E"/>
    <w:rsid w:val="5AFF3461"/>
    <w:rsid w:val="5B1B379E"/>
    <w:rsid w:val="5D86525F"/>
    <w:rsid w:val="60E20E04"/>
    <w:rsid w:val="61127B32"/>
    <w:rsid w:val="63562B08"/>
    <w:rsid w:val="65B20A70"/>
    <w:rsid w:val="65F475D7"/>
    <w:rsid w:val="66180E07"/>
    <w:rsid w:val="662B3F76"/>
    <w:rsid w:val="67307659"/>
    <w:rsid w:val="681F00C5"/>
    <w:rsid w:val="6B0A1759"/>
    <w:rsid w:val="6C294224"/>
    <w:rsid w:val="6C494EAC"/>
    <w:rsid w:val="6C5A7CC6"/>
    <w:rsid w:val="6D447540"/>
    <w:rsid w:val="6DCB751A"/>
    <w:rsid w:val="6FD24DDA"/>
    <w:rsid w:val="70763D6E"/>
    <w:rsid w:val="719D4C8C"/>
    <w:rsid w:val="72201288"/>
    <w:rsid w:val="732472E8"/>
    <w:rsid w:val="73A060E4"/>
    <w:rsid w:val="745D14CD"/>
    <w:rsid w:val="74F87B4B"/>
    <w:rsid w:val="755700B6"/>
    <w:rsid w:val="75B726C4"/>
    <w:rsid w:val="76BE7415"/>
    <w:rsid w:val="77DC1324"/>
    <w:rsid w:val="783E2D3C"/>
    <w:rsid w:val="78B2790D"/>
    <w:rsid w:val="79BE07AA"/>
    <w:rsid w:val="79C43AA9"/>
    <w:rsid w:val="79F56A63"/>
    <w:rsid w:val="7A056903"/>
    <w:rsid w:val="7AB0796D"/>
    <w:rsid w:val="7B000E04"/>
    <w:rsid w:val="7B4E0BB2"/>
    <w:rsid w:val="7BFA05F4"/>
    <w:rsid w:val="7D662FD0"/>
    <w:rsid w:val="7E096A20"/>
    <w:rsid w:val="7E854971"/>
    <w:rsid w:val="7E875D94"/>
    <w:rsid w:val="7EBC5F5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nhideWhenUsed="0" w:uiPriority="0" w:semiHidden="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99"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textAlignment w:val="baseline"/>
    </w:pPr>
    <w:rPr>
      <w:rFonts w:ascii="Times New Roman" w:hAnsi="Times New Roman" w:eastAsia="宋体" w:cstheme="minorBidi"/>
      <w:kern w:val="2"/>
      <w:sz w:val="21"/>
      <w:szCs w:val="24"/>
      <w:lang w:val="en-US" w:eastAsia="zh-CN" w:bidi="ar-SA"/>
    </w:rPr>
  </w:style>
  <w:style w:type="paragraph" w:styleId="2">
    <w:name w:val="heading 2"/>
    <w:basedOn w:val="1"/>
    <w:next w:val="1"/>
    <w:unhideWhenUsed/>
    <w:qFormat/>
    <w:uiPriority w:val="9"/>
    <w:pPr>
      <w:spacing w:before="100" w:beforeAutospacing="1" w:after="100" w:afterAutospacing="1"/>
      <w:jc w:val="center"/>
      <w:outlineLvl w:val="1"/>
    </w:pPr>
    <w:rPr>
      <w:rFonts w:hint="eastAsia" w:ascii="宋体" w:hAnsi="宋体"/>
      <w:b/>
      <w:kern w:val="0"/>
      <w:sz w:val="32"/>
      <w:szCs w:val="36"/>
    </w:rPr>
  </w:style>
  <w:style w:type="paragraph" w:styleId="3">
    <w:name w:val="heading 3"/>
    <w:basedOn w:val="1"/>
    <w:next w:val="1"/>
    <w:unhideWhenUsed/>
    <w:qFormat/>
    <w:uiPriority w:val="9"/>
    <w:pPr>
      <w:keepNext/>
      <w:keepLines/>
      <w:spacing w:before="260" w:after="260" w:line="416" w:lineRule="auto"/>
      <w:outlineLvl w:val="2"/>
    </w:pPr>
    <w:rPr>
      <w:szCs w:val="32"/>
    </w:rPr>
  </w:style>
  <w:style w:type="paragraph" w:styleId="4">
    <w:name w:val="heading 4"/>
    <w:basedOn w:val="1"/>
    <w:next w:val="1"/>
    <w:unhideWhenUsed/>
    <w:qFormat/>
    <w:uiPriority w:val="0"/>
    <w:pPr>
      <w:keepNext/>
      <w:keepLines/>
      <w:numPr>
        <w:ilvl w:val="3"/>
        <w:numId w:val="1"/>
      </w:numPr>
      <w:spacing w:line="372" w:lineRule="auto"/>
      <w:outlineLvl w:val="3"/>
    </w:pPr>
    <w:rPr>
      <w:rFonts w:ascii="Arial" w:hAnsi="Arial"/>
      <w:b/>
      <w:szCs w:val="24"/>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Document Map"/>
    <w:basedOn w:val="1"/>
    <w:link w:val="83"/>
    <w:qFormat/>
    <w:uiPriority w:val="0"/>
    <w:rPr>
      <w:rFonts w:ascii="宋体"/>
      <w:sz w:val="18"/>
      <w:szCs w:val="18"/>
    </w:rPr>
  </w:style>
  <w:style w:type="paragraph" w:styleId="7">
    <w:name w:val="annotation text"/>
    <w:basedOn w:val="1"/>
    <w:link w:val="80"/>
    <w:qFormat/>
    <w:uiPriority w:val="0"/>
    <w:pPr>
      <w:jc w:val="left"/>
    </w:pPr>
  </w:style>
  <w:style w:type="paragraph" w:styleId="8">
    <w:name w:val="Body Text"/>
    <w:basedOn w:val="1"/>
    <w:next w:val="1"/>
    <w:qFormat/>
    <w:uiPriority w:val="0"/>
    <w:pPr>
      <w:spacing w:after="120"/>
    </w:pPr>
  </w:style>
  <w:style w:type="paragraph" w:styleId="9">
    <w:name w:val="Body Text Indent"/>
    <w:basedOn w:val="1"/>
    <w:qFormat/>
    <w:uiPriority w:val="0"/>
    <w:pPr>
      <w:spacing w:after="120"/>
      <w:ind w:left="420" w:leftChars="200"/>
    </w:pPr>
  </w:style>
  <w:style w:type="paragraph" w:styleId="10">
    <w:name w:val="Plain Text"/>
    <w:basedOn w:val="1"/>
    <w:qFormat/>
    <w:uiPriority w:val="0"/>
    <w:pPr>
      <w:widowControl w:val="0"/>
      <w:jc w:val="both"/>
    </w:pPr>
    <w:rPr>
      <w:rFonts w:ascii="宋体" w:hAnsi="Times New Roman" w:eastAsia="宋体" w:cs="Times New Roman"/>
      <w:kern w:val="2"/>
      <w:sz w:val="21"/>
      <w:lang w:val="en-US" w:eastAsia="zh-CN" w:bidi="ar-SA"/>
    </w:rPr>
  </w:style>
  <w:style w:type="paragraph" w:styleId="11">
    <w:name w:val="Date"/>
    <w:basedOn w:val="1"/>
    <w:next w:val="1"/>
    <w:qFormat/>
    <w:uiPriority w:val="0"/>
    <w:pPr>
      <w:ind w:left="100" w:leftChars="2500"/>
    </w:pPr>
  </w:style>
  <w:style w:type="paragraph" w:styleId="12">
    <w:name w:val="Balloon Text"/>
    <w:basedOn w:val="1"/>
    <w:link w:val="82"/>
    <w:qFormat/>
    <w:uiPriority w:val="0"/>
    <w:rPr>
      <w:rFonts w:ascii="宋体"/>
      <w:sz w:val="18"/>
      <w:szCs w:val="18"/>
    </w:rPr>
  </w:style>
  <w:style w:type="paragraph" w:styleId="13">
    <w:name w:val="footer"/>
    <w:basedOn w:val="1"/>
    <w:link w:val="47"/>
    <w:qFormat/>
    <w:uiPriority w:val="99"/>
    <w:pPr>
      <w:tabs>
        <w:tab w:val="center" w:pos="4153"/>
        <w:tab w:val="right" w:pos="8306"/>
      </w:tabs>
      <w:snapToGrid w:val="0"/>
      <w:jc w:val="left"/>
    </w:pPr>
    <w:rPr>
      <w:sz w:val="18"/>
      <w:szCs w:val="18"/>
    </w:rPr>
  </w:style>
  <w:style w:type="paragraph" w:styleId="14">
    <w:name w:val="envelope return"/>
    <w:basedOn w:val="1"/>
    <w:qFormat/>
    <w:uiPriority w:val="0"/>
    <w:pPr>
      <w:snapToGrid w:val="0"/>
    </w:pPr>
    <w:rPr>
      <w:rFonts w:ascii="Arial" w:hAnsi="Arial"/>
    </w:rPr>
  </w:style>
  <w:style w:type="paragraph" w:styleId="15">
    <w:name w:val="header"/>
    <w:basedOn w:val="1"/>
    <w:link w:val="49"/>
    <w:qFormat/>
    <w:uiPriority w:val="0"/>
    <w:pPr>
      <w:pBdr>
        <w:bottom w:val="single" w:color="000000" w:sz="6" w:space="1"/>
      </w:pBdr>
      <w:tabs>
        <w:tab w:val="center" w:pos="4153"/>
        <w:tab w:val="right" w:pos="8306"/>
      </w:tabs>
      <w:snapToGrid w:val="0"/>
      <w:jc w:val="center"/>
    </w:pPr>
    <w:rPr>
      <w:sz w:val="18"/>
      <w:szCs w:val="18"/>
    </w:rPr>
  </w:style>
  <w:style w:type="paragraph" w:styleId="16">
    <w:name w:val="toc 1"/>
    <w:basedOn w:val="1"/>
    <w:next w:val="1"/>
    <w:qFormat/>
    <w:uiPriority w:val="39"/>
  </w:style>
  <w:style w:type="paragraph" w:styleId="17">
    <w:name w:val="toc 2"/>
    <w:basedOn w:val="1"/>
    <w:next w:val="1"/>
    <w:semiHidden/>
    <w:unhideWhenUsed/>
    <w:qFormat/>
    <w:uiPriority w:val="0"/>
    <w:pPr>
      <w:ind w:left="420" w:leftChars="200"/>
    </w:pPr>
  </w:style>
  <w:style w:type="paragraph" w:styleId="18">
    <w:name w:val="Normal (Web)"/>
    <w:basedOn w:val="1"/>
    <w:qFormat/>
    <w:uiPriority w:val="0"/>
    <w:pPr>
      <w:spacing w:before="100" w:beforeAutospacing="1" w:after="100" w:afterAutospacing="1"/>
      <w:jc w:val="left"/>
    </w:pPr>
    <w:rPr>
      <w:rFonts w:ascii="宋体" w:hAnsi="宋体" w:cs="宋体"/>
      <w:kern w:val="0"/>
      <w:sz w:val="24"/>
    </w:rPr>
  </w:style>
  <w:style w:type="paragraph" w:styleId="19">
    <w:name w:val="annotation subject"/>
    <w:basedOn w:val="7"/>
    <w:next w:val="7"/>
    <w:link w:val="81"/>
    <w:qFormat/>
    <w:uiPriority w:val="0"/>
    <w:rPr>
      <w:b/>
      <w:bCs/>
    </w:rPr>
  </w:style>
  <w:style w:type="paragraph" w:styleId="20">
    <w:name w:val="Body Text First Indent"/>
    <w:basedOn w:val="8"/>
    <w:unhideWhenUsed/>
    <w:qFormat/>
    <w:uiPriority w:val="99"/>
    <w:pPr>
      <w:ind w:firstLine="420" w:firstLineChars="100"/>
    </w:pPr>
    <w:rPr>
      <w:rFonts w:ascii="Calibri" w:hAnsi="Calibri"/>
      <w:kern w:val="0"/>
      <w:sz w:val="20"/>
      <w:szCs w:val="20"/>
    </w:rPr>
  </w:style>
  <w:style w:type="paragraph" w:styleId="21">
    <w:name w:val="Body Text First Indent 2"/>
    <w:basedOn w:val="5"/>
    <w:qFormat/>
    <w:uiPriority w:val="99"/>
    <w:pPr>
      <w:tabs>
        <w:tab w:val="left" w:pos="4606"/>
      </w:tabs>
    </w:pPr>
  </w:style>
  <w:style w:type="table" w:styleId="23">
    <w:name w:val="Table Grid"/>
    <w:basedOn w:val="2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basedOn w:val="26"/>
    <w:qFormat/>
    <w:uiPriority w:val="0"/>
    <w:rPr>
      <w:rFonts w:cs="Times New Roman"/>
      <w:b/>
      <w:bCs/>
    </w:rPr>
  </w:style>
  <w:style w:type="character" w:customStyle="1" w:styleId="26">
    <w:name w:val="NormalCharacter"/>
    <w:semiHidden/>
    <w:qFormat/>
    <w:uiPriority w:val="0"/>
  </w:style>
  <w:style w:type="character" w:styleId="27">
    <w:name w:val="page number"/>
    <w:qFormat/>
    <w:uiPriority w:val="0"/>
  </w:style>
  <w:style w:type="character" w:styleId="28">
    <w:name w:val="FollowedHyperlink"/>
    <w:qFormat/>
    <w:uiPriority w:val="0"/>
    <w:rPr>
      <w:color w:val="800080"/>
      <w:u w:val="single"/>
    </w:rPr>
  </w:style>
  <w:style w:type="character" w:styleId="29">
    <w:name w:val="Emphasis"/>
    <w:qFormat/>
    <w:uiPriority w:val="0"/>
    <w:rPr>
      <w:color w:val="CC0000"/>
    </w:rPr>
  </w:style>
  <w:style w:type="character" w:styleId="30">
    <w:name w:val="Hyperlink"/>
    <w:qFormat/>
    <w:uiPriority w:val="0"/>
    <w:rPr>
      <w:color w:val="0000FF"/>
      <w:u w:val="single"/>
    </w:rPr>
  </w:style>
  <w:style w:type="character" w:styleId="31">
    <w:name w:val="annotation reference"/>
    <w:basedOn w:val="24"/>
    <w:qFormat/>
    <w:uiPriority w:val="0"/>
    <w:rPr>
      <w:sz w:val="21"/>
      <w:szCs w:val="21"/>
    </w:rPr>
  </w:style>
  <w:style w:type="paragraph" w:customStyle="1" w:styleId="32">
    <w:name w:val="样式 标题 3 + (中文) 黑体 小四 非加粗 段前: 7.8 磅 段后: 0 磅 行距: 固定值 20 磅"/>
    <w:basedOn w:val="3"/>
    <w:autoRedefine/>
    <w:qFormat/>
    <w:uiPriority w:val="0"/>
    <w:pPr>
      <w:tabs>
        <w:tab w:val="left" w:pos="425"/>
      </w:tabs>
      <w:spacing w:before="0" w:after="0" w:line="400" w:lineRule="exact"/>
    </w:pPr>
    <w:rPr>
      <w:rFonts w:ascii="Times New Roman" w:hAnsi="Times New Roman" w:eastAsia="黑体" w:cs="宋体"/>
      <w:sz w:val="24"/>
      <w:szCs w:val="20"/>
    </w:rPr>
  </w:style>
  <w:style w:type="paragraph" w:customStyle="1" w:styleId="33">
    <w:name w:val="NormalIndent"/>
    <w:basedOn w:val="1"/>
    <w:next w:val="34"/>
    <w:link w:val="38"/>
    <w:qFormat/>
    <w:uiPriority w:val="0"/>
    <w:pPr>
      <w:ind w:firstLine="420"/>
    </w:pPr>
    <w:rPr>
      <w:szCs w:val="20"/>
    </w:rPr>
  </w:style>
  <w:style w:type="paragraph" w:customStyle="1" w:styleId="34">
    <w:name w:val="BodyTextIndent"/>
    <w:basedOn w:val="1"/>
    <w:next w:val="33"/>
    <w:qFormat/>
    <w:uiPriority w:val="0"/>
    <w:pPr>
      <w:spacing w:after="120"/>
      <w:ind w:left="420" w:leftChars="200"/>
    </w:pPr>
  </w:style>
  <w:style w:type="paragraph" w:customStyle="1" w:styleId="35">
    <w:name w:val="Heading1"/>
    <w:basedOn w:val="1"/>
    <w:next w:val="1"/>
    <w:qFormat/>
    <w:uiPriority w:val="0"/>
    <w:pPr>
      <w:spacing w:beforeAutospacing="1" w:afterAutospacing="1"/>
      <w:jc w:val="left"/>
    </w:pPr>
    <w:rPr>
      <w:rFonts w:ascii="宋体" w:hAnsi="宋体" w:cs="Times New Roman"/>
      <w:b/>
      <w:bCs/>
      <w:kern w:val="44"/>
      <w:sz w:val="48"/>
      <w:szCs w:val="48"/>
    </w:rPr>
  </w:style>
  <w:style w:type="paragraph" w:customStyle="1" w:styleId="36">
    <w:name w:val="Heading2"/>
    <w:basedOn w:val="1"/>
    <w:next w:val="1"/>
    <w:link w:val="39"/>
    <w:qFormat/>
    <w:uiPriority w:val="0"/>
    <w:pPr>
      <w:spacing w:beforeAutospacing="1" w:afterAutospacing="1"/>
      <w:jc w:val="left"/>
    </w:pPr>
    <w:rPr>
      <w:rFonts w:ascii="宋体" w:hAnsi="宋体"/>
      <w:b/>
      <w:kern w:val="0"/>
      <w:sz w:val="36"/>
      <w:szCs w:val="36"/>
    </w:rPr>
  </w:style>
  <w:style w:type="table" w:customStyle="1" w:styleId="37">
    <w:name w:val="TableNormal"/>
    <w:semiHidden/>
    <w:qFormat/>
    <w:uiPriority w:val="0"/>
    <w:tblPr>
      <w:tblCellMar>
        <w:top w:w="0" w:type="dxa"/>
        <w:left w:w="0" w:type="dxa"/>
        <w:bottom w:w="0" w:type="dxa"/>
        <w:right w:w="0" w:type="dxa"/>
      </w:tblCellMar>
    </w:tblPr>
  </w:style>
  <w:style w:type="character" w:customStyle="1" w:styleId="38">
    <w:name w:val="UserStyle_0"/>
    <w:link w:val="33"/>
    <w:qFormat/>
    <w:uiPriority w:val="0"/>
    <w:rPr>
      <w:rFonts w:eastAsia="宋体"/>
      <w:kern w:val="2"/>
      <w:sz w:val="21"/>
      <w:lang w:val="en-US" w:eastAsia="zh-CN" w:bidi="ar-SA"/>
    </w:rPr>
  </w:style>
  <w:style w:type="character" w:customStyle="1" w:styleId="39">
    <w:name w:val="UserStyle_1"/>
    <w:link w:val="36"/>
    <w:qFormat/>
    <w:uiPriority w:val="0"/>
    <w:rPr>
      <w:rFonts w:ascii="宋体" w:hAnsi="宋体"/>
      <w:b/>
      <w:sz w:val="36"/>
      <w:szCs w:val="36"/>
    </w:rPr>
  </w:style>
  <w:style w:type="paragraph" w:customStyle="1" w:styleId="40">
    <w:name w:val="NavPane"/>
    <w:basedOn w:val="1"/>
    <w:semiHidden/>
    <w:qFormat/>
    <w:uiPriority w:val="0"/>
    <w:pPr>
      <w:shd w:val="clear" w:color="auto" w:fill="000080"/>
    </w:pPr>
  </w:style>
  <w:style w:type="paragraph" w:customStyle="1" w:styleId="41">
    <w:name w:val="AnnotationText"/>
    <w:basedOn w:val="1"/>
    <w:link w:val="42"/>
    <w:qFormat/>
    <w:uiPriority w:val="0"/>
    <w:pPr>
      <w:jc w:val="left"/>
    </w:pPr>
  </w:style>
  <w:style w:type="character" w:customStyle="1" w:styleId="42">
    <w:name w:val="UserStyle_2"/>
    <w:link w:val="41"/>
    <w:qFormat/>
    <w:uiPriority w:val="0"/>
    <w:rPr>
      <w:kern w:val="2"/>
      <w:sz w:val="21"/>
      <w:szCs w:val="24"/>
    </w:rPr>
  </w:style>
  <w:style w:type="paragraph" w:customStyle="1" w:styleId="43">
    <w:name w:val="BodyText"/>
    <w:basedOn w:val="1"/>
    <w:qFormat/>
    <w:uiPriority w:val="0"/>
    <w:pPr>
      <w:spacing w:after="120"/>
    </w:pPr>
  </w:style>
  <w:style w:type="paragraph" w:customStyle="1" w:styleId="44">
    <w:name w:val="PlainText"/>
    <w:basedOn w:val="1"/>
    <w:qFormat/>
    <w:uiPriority w:val="0"/>
    <w:rPr>
      <w:rFonts w:ascii="宋体" w:hAnsi="Courier New"/>
      <w:kern w:val="0"/>
      <w:sz w:val="20"/>
    </w:rPr>
  </w:style>
  <w:style w:type="paragraph" w:customStyle="1" w:styleId="45">
    <w:name w:val="BodyTextIndent2"/>
    <w:basedOn w:val="1"/>
    <w:qFormat/>
    <w:uiPriority w:val="0"/>
    <w:pPr>
      <w:spacing w:line="500" w:lineRule="atLeast"/>
      <w:ind w:firstLine="420" w:firstLineChars="175"/>
    </w:pPr>
    <w:rPr>
      <w:rFonts w:ascii="新宋体" w:hAnsi="新宋体" w:eastAsia="新宋体"/>
      <w:sz w:val="24"/>
      <w:szCs w:val="20"/>
    </w:rPr>
  </w:style>
  <w:style w:type="paragraph" w:customStyle="1" w:styleId="46">
    <w:name w:val="Acetate"/>
    <w:basedOn w:val="1"/>
    <w:semiHidden/>
    <w:qFormat/>
    <w:uiPriority w:val="0"/>
    <w:rPr>
      <w:sz w:val="18"/>
      <w:szCs w:val="18"/>
    </w:rPr>
  </w:style>
  <w:style w:type="character" w:customStyle="1" w:styleId="47">
    <w:name w:val="页脚 Char"/>
    <w:link w:val="13"/>
    <w:qFormat/>
    <w:uiPriority w:val="99"/>
    <w:rPr>
      <w:kern w:val="2"/>
      <w:sz w:val="18"/>
      <w:szCs w:val="18"/>
    </w:rPr>
  </w:style>
  <w:style w:type="paragraph" w:customStyle="1" w:styleId="48">
    <w:name w:val="EnvelopeReturn"/>
    <w:basedOn w:val="1"/>
    <w:qFormat/>
    <w:uiPriority w:val="0"/>
    <w:pPr>
      <w:snapToGrid w:val="0"/>
    </w:pPr>
    <w:rPr>
      <w:rFonts w:ascii="Arial" w:hAnsi="Arial"/>
    </w:rPr>
  </w:style>
  <w:style w:type="character" w:customStyle="1" w:styleId="49">
    <w:name w:val="页眉 Char"/>
    <w:link w:val="15"/>
    <w:qFormat/>
    <w:uiPriority w:val="0"/>
    <w:rPr>
      <w:kern w:val="2"/>
      <w:sz w:val="18"/>
      <w:szCs w:val="18"/>
    </w:rPr>
  </w:style>
  <w:style w:type="paragraph" w:customStyle="1" w:styleId="50">
    <w:name w:val="HtmlNormal"/>
    <w:basedOn w:val="1"/>
    <w:qFormat/>
    <w:uiPriority w:val="0"/>
    <w:pPr>
      <w:spacing w:before="100" w:beforeAutospacing="1" w:after="100" w:afterAutospacing="1"/>
      <w:jc w:val="left"/>
    </w:pPr>
    <w:rPr>
      <w:rFonts w:ascii="宋体" w:hAnsi="宋体"/>
      <w:kern w:val="0"/>
      <w:sz w:val="24"/>
    </w:rPr>
  </w:style>
  <w:style w:type="paragraph" w:customStyle="1" w:styleId="51">
    <w:name w:val="AnnotationSubject"/>
    <w:basedOn w:val="41"/>
    <w:next w:val="41"/>
    <w:link w:val="52"/>
    <w:qFormat/>
    <w:uiPriority w:val="0"/>
    <w:rPr>
      <w:rFonts w:cs="Times New Roman"/>
      <w:b/>
      <w:bCs/>
    </w:rPr>
  </w:style>
  <w:style w:type="character" w:customStyle="1" w:styleId="52">
    <w:name w:val="UserStyle_5"/>
    <w:link w:val="51"/>
    <w:qFormat/>
    <w:uiPriority w:val="0"/>
    <w:rPr>
      <w:rFonts w:cs="Times New Roman"/>
      <w:b/>
      <w:bCs/>
      <w:kern w:val="2"/>
      <w:sz w:val="21"/>
      <w:szCs w:val="24"/>
    </w:rPr>
  </w:style>
  <w:style w:type="paragraph" w:customStyle="1" w:styleId="53">
    <w:name w:val="BodyText1I"/>
    <w:basedOn w:val="43"/>
    <w:qFormat/>
    <w:uiPriority w:val="0"/>
    <w:pPr>
      <w:ind w:firstLine="420" w:firstLineChars="100"/>
    </w:pPr>
    <w:rPr>
      <w:rFonts w:ascii="Calibri" w:hAnsi="Calibri"/>
      <w:kern w:val="0"/>
      <w:sz w:val="20"/>
      <w:szCs w:val="20"/>
    </w:rPr>
  </w:style>
  <w:style w:type="paragraph" w:customStyle="1" w:styleId="54">
    <w:name w:val="BodyText1I2"/>
    <w:basedOn w:val="34"/>
    <w:qFormat/>
    <w:uiPriority w:val="0"/>
    <w:pPr>
      <w:tabs>
        <w:tab w:val="left" w:pos="4606"/>
      </w:tabs>
      <w:ind w:firstLine="420"/>
    </w:pPr>
  </w:style>
  <w:style w:type="table" w:customStyle="1" w:styleId="55">
    <w:name w:val="TableGrid"/>
    <w:basedOn w:val="37"/>
    <w:qFormat/>
    <w:uiPriority w:val="0"/>
    <w:tblPr>
      <w:tblCellMar>
        <w:top w:w="0" w:type="dxa"/>
        <w:left w:w="0" w:type="dxa"/>
        <w:bottom w:w="0" w:type="dxa"/>
        <w:right w:w="0" w:type="dxa"/>
      </w:tblCellMar>
    </w:tblPr>
  </w:style>
  <w:style w:type="character" w:customStyle="1" w:styleId="56">
    <w:name w:val="PageNumber"/>
    <w:basedOn w:val="26"/>
    <w:qFormat/>
    <w:uiPriority w:val="0"/>
  </w:style>
  <w:style w:type="character" w:customStyle="1" w:styleId="57">
    <w:name w:val="AnnotationReference"/>
    <w:qFormat/>
    <w:uiPriority w:val="0"/>
    <w:rPr>
      <w:sz w:val="21"/>
      <w:szCs w:val="21"/>
    </w:rPr>
  </w:style>
  <w:style w:type="character" w:customStyle="1" w:styleId="58">
    <w:name w:val="UserStyle_6"/>
    <w:basedOn w:val="26"/>
    <w:qFormat/>
    <w:uiPriority w:val="0"/>
    <w:rPr>
      <w:rFonts w:ascii="宋体" w:hAnsi="宋体" w:eastAsia="宋体"/>
      <w:color w:val="000000"/>
      <w:sz w:val="22"/>
      <w:szCs w:val="22"/>
    </w:rPr>
  </w:style>
  <w:style w:type="character" w:customStyle="1" w:styleId="59">
    <w:name w:val="UserStyle_7"/>
    <w:qFormat/>
    <w:uiPriority w:val="0"/>
    <w:rPr>
      <w:rFonts w:ascii="Arial" w:hAnsi="Arial"/>
      <w:sz w:val="18"/>
      <w:szCs w:val="18"/>
    </w:rPr>
  </w:style>
  <w:style w:type="character" w:customStyle="1" w:styleId="60">
    <w:name w:val="UserStyle_8"/>
    <w:basedOn w:val="26"/>
    <w:qFormat/>
    <w:uiPriority w:val="0"/>
    <w:rPr>
      <w:rFonts w:ascii="宋体" w:hAnsi="宋体" w:eastAsia="宋体"/>
      <w:color w:val="000000"/>
      <w:sz w:val="22"/>
      <w:szCs w:val="22"/>
    </w:rPr>
  </w:style>
  <w:style w:type="character" w:customStyle="1" w:styleId="61">
    <w:name w:val="UserStyle_9"/>
    <w:basedOn w:val="26"/>
    <w:qFormat/>
    <w:uiPriority w:val="0"/>
  </w:style>
  <w:style w:type="character" w:customStyle="1" w:styleId="62">
    <w:name w:val="UserStyle_10"/>
    <w:basedOn w:val="26"/>
    <w:qFormat/>
    <w:uiPriority w:val="0"/>
  </w:style>
  <w:style w:type="character" w:customStyle="1" w:styleId="63">
    <w:name w:val="UserStyle_11"/>
    <w:basedOn w:val="26"/>
    <w:qFormat/>
    <w:uiPriority w:val="0"/>
    <w:rPr>
      <w:rFonts w:ascii="PMingLiU" w:hAnsi="PMingLiU" w:eastAsia="PMingLiU"/>
      <w:color w:val="000000"/>
      <w:sz w:val="22"/>
      <w:szCs w:val="22"/>
    </w:rPr>
  </w:style>
  <w:style w:type="paragraph" w:customStyle="1" w:styleId="64">
    <w:name w:val="UserStyle_12"/>
    <w:basedOn w:val="44"/>
    <w:qFormat/>
    <w:uiPriority w:val="0"/>
    <w:pPr>
      <w:spacing w:line="240" w:lineRule="atLeast"/>
    </w:pPr>
    <w:rPr>
      <w:sz w:val="28"/>
    </w:rPr>
  </w:style>
  <w:style w:type="paragraph" w:customStyle="1" w:styleId="65">
    <w:name w:val="UserStyle_13"/>
    <w:basedOn w:val="1"/>
    <w:qFormat/>
    <w:uiPriority w:val="0"/>
    <w:pPr>
      <w:tabs>
        <w:tab w:val="left" w:pos="0"/>
      </w:tabs>
      <w:spacing w:line="440" w:lineRule="exact"/>
      <w:ind w:firstLine="562" w:firstLineChars="200"/>
    </w:pPr>
    <w:rPr>
      <w:rFonts w:ascii="仿宋_GB2312" w:hAnsi="仿宋" w:eastAsia="仿宋_GB2312"/>
      <w:b/>
      <w:sz w:val="28"/>
      <w:szCs w:val="28"/>
    </w:rPr>
  </w:style>
  <w:style w:type="paragraph" w:customStyle="1" w:styleId="66">
    <w:name w:val="UserStyle_14"/>
    <w:basedOn w:val="40"/>
    <w:qFormat/>
    <w:uiPriority w:val="0"/>
    <w:rPr>
      <w:rFonts w:ascii="Tahoma" w:hAnsi="Tahoma"/>
      <w:sz w:val="24"/>
    </w:rPr>
  </w:style>
  <w:style w:type="paragraph" w:customStyle="1" w:styleId="67">
    <w:name w:val="UserStyle_15"/>
    <w:basedOn w:val="1"/>
    <w:qFormat/>
    <w:uiPriority w:val="0"/>
    <w:pPr>
      <w:spacing w:before="100" w:beforeAutospacing="1" w:after="100" w:afterAutospacing="1"/>
      <w:jc w:val="left"/>
    </w:pPr>
    <w:rPr>
      <w:rFonts w:ascii="宋体" w:hAnsi="宋体"/>
      <w:kern w:val="0"/>
      <w:sz w:val="24"/>
    </w:rPr>
  </w:style>
  <w:style w:type="paragraph" w:customStyle="1" w:styleId="68">
    <w:name w:val="UserStyle_16"/>
    <w:basedOn w:val="1"/>
    <w:qFormat/>
    <w:uiPriority w:val="0"/>
    <w:rPr>
      <w:rFonts w:ascii="Tahoma" w:hAnsi="Tahoma"/>
      <w:sz w:val="24"/>
      <w:szCs w:val="20"/>
    </w:rPr>
  </w:style>
  <w:style w:type="paragraph" w:customStyle="1" w:styleId="69">
    <w:name w:val="UserStyle_17"/>
    <w:basedOn w:val="1"/>
    <w:qFormat/>
    <w:uiPriority w:val="0"/>
    <w:pPr>
      <w:spacing w:line="360" w:lineRule="auto"/>
    </w:pPr>
    <w:rPr>
      <w:kern w:val="0"/>
      <w:sz w:val="24"/>
      <w:szCs w:val="20"/>
    </w:rPr>
  </w:style>
  <w:style w:type="paragraph" w:customStyle="1" w:styleId="70">
    <w:name w:val="UserStyle_18"/>
    <w:basedOn w:val="1"/>
    <w:qFormat/>
    <w:uiPriority w:val="0"/>
    <w:rPr>
      <w:kern w:val="28"/>
      <w:szCs w:val="20"/>
    </w:rPr>
  </w:style>
  <w:style w:type="paragraph" w:customStyle="1" w:styleId="71">
    <w:name w:val="UserStyle_19"/>
    <w:basedOn w:val="1"/>
    <w:qFormat/>
    <w:uiPriority w:val="0"/>
    <w:rPr>
      <w:rFonts w:ascii="Tahoma" w:hAnsi="Tahoma"/>
      <w:sz w:val="24"/>
      <w:szCs w:val="20"/>
    </w:rPr>
  </w:style>
  <w:style w:type="paragraph" w:customStyle="1" w:styleId="72">
    <w:name w:val="UserStyle_20"/>
    <w:basedOn w:val="1"/>
    <w:qFormat/>
    <w:uiPriority w:val="0"/>
    <w:rPr>
      <w:rFonts w:ascii="Tahoma" w:hAnsi="Tahoma"/>
      <w:sz w:val="24"/>
      <w:szCs w:val="20"/>
    </w:rPr>
  </w:style>
  <w:style w:type="paragraph" w:customStyle="1" w:styleId="73">
    <w:name w:val="UserStyle_21"/>
    <w:qFormat/>
    <w:uiPriority w:val="0"/>
    <w:pPr>
      <w:jc w:val="both"/>
      <w:textAlignment w:val="baseline"/>
    </w:pPr>
    <w:rPr>
      <w:rFonts w:ascii="Times New Roman" w:hAnsi="Times New Roman" w:eastAsia="宋体" w:cstheme="minorBidi"/>
      <w:kern w:val="2"/>
      <w:sz w:val="21"/>
      <w:szCs w:val="24"/>
      <w:lang w:val="en-US" w:eastAsia="zh-CN" w:bidi="ar-SA"/>
    </w:rPr>
  </w:style>
  <w:style w:type="paragraph" w:customStyle="1" w:styleId="74">
    <w:name w:val="179"/>
    <w:basedOn w:val="1"/>
    <w:qFormat/>
    <w:uiPriority w:val="0"/>
    <w:pPr>
      <w:ind w:firstLine="420" w:firstLineChars="200"/>
    </w:pPr>
  </w:style>
  <w:style w:type="paragraph" w:customStyle="1" w:styleId="75">
    <w:name w:val="UserStyle_22"/>
    <w:basedOn w:val="1"/>
    <w:qFormat/>
    <w:uiPriority w:val="0"/>
    <w:rPr>
      <w:rFonts w:ascii="Tahoma" w:hAnsi="Tahoma"/>
      <w:sz w:val="24"/>
      <w:szCs w:val="20"/>
    </w:rPr>
  </w:style>
  <w:style w:type="character" w:customStyle="1" w:styleId="76">
    <w:name w:val="UserStyle_23"/>
    <w:basedOn w:val="26"/>
    <w:qFormat/>
    <w:uiPriority w:val="0"/>
    <w:rPr>
      <w:rFonts w:ascii="宋体" w:hAnsi="宋体" w:eastAsia="宋体"/>
      <w:color w:val="000000"/>
      <w:sz w:val="18"/>
      <w:szCs w:val="18"/>
    </w:rPr>
  </w:style>
  <w:style w:type="character" w:customStyle="1" w:styleId="77">
    <w:name w:val="UserStyle_24"/>
    <w:basedOn w:val="26"/>
    <w:qFormat/>
    <w:uiPriority w:val="0"/>
    <w:rPr>
      <w:rFonts w:ascii="宋体" w:hAnsi="宋体" w:eastAsia="宋体"/>
      <w:color w:val="000000"/>
      <w:sz w:val="18"/>
      <w:szCs w:val="18"/>
    </w:rPr>
  </w:style>
  <w:style w:type="paragraph" w:customStyle="1" w:styleId="78">
    <w:name w:val="Table Paragraph"/>
    <w:basedOn w:val="1"/>
    <w:qFormat/>
    <w:uiPriority w:val="1"/>
  </w:style>
  <w:style w:type="table" w:customStyle="1" w:styleId="79">
    <w:name w:val="Table Normal"/>
    <w:semiHidden/>
    <w:unhideWhenUsed/>
    <w:qFormat/>
    <w:uiPriority w:val="2"/>
    <w:tblPr>
      <w:tblCellMar>
        <w:top w:w="0" w:type="dxa"/>
        <w:left w:w="0" w:type="dxa"/>
        <w:bottom w:w="0" w:type="dxa"/>
        <w:right w:w="0" w:type="dxa"/>
      </w:tblCellMar>
    </w:tblPr>
  </w:style>
  <w:style w:type="character" w:customStyle="1" w:styleId="80">
    <w:name w:val="批注文字 Char"/>
    <w:basedOn w:val="24"/>
    <w:link w:val="7"/>
    <w:qFormat/>
    <w:uiPriority w:val="0"/>
    <w:rPr>
      <w:kern w:val="2"/>
      <w:sz w:val="21"/>
      <w:szCs w:val="24"/>
    </w:rPr>
  </w:style>
  <w:style w:type="character" w:customStyle="1" w:styleId="81">
    <w:name w:val="批注主题 Char"/>
    <w:basedOn w:val="80"/>
    <w:link w:val="19"/>
    <w:qFormat/>
    <w:uiPriority w:val="0"/>
    <w:rPr>
      <w:b/>
      <w:bCs/>
      <w:kern w:val="2"/>
      <w:sz w:val="21"/>
      <w:szCs w:val="24"/>
    </w:rPr>
  </w:style>
  <w:style w:type="character" w:customStyle="1" w:styleId="82">
    <w:name w:val="批注框文本 Char"/>
    <w:basedOn w:val="24"/>
    <w:link w:val="12"/>
    <w:qFormat/>
    <w:uiPriority w:val="0"/>
    <w:rPr>
      <w:rFonts w:ascii="宋体" w:cstheme="minorBidi"/>
      <w:kern w:val="2"/>
      <w:sz w:val="18"/>
      <w:szCs w:val="18"/>
    </w:rPr>
  </w:style>
  <w:style w:type="character" w:customStyle="1" w:styleId="83">
    <w:name w:val="文档结构图 Char"/>
    <w:basedOn w:val="24"/>
    <w:link w:val="6"/>
    <w:qFormat/>
    <w:uiPriority w:val="0"/>
    <w:rPr>
      <w:rFonts w:ascii="宋体" w:cstheme="minorBidi"/>
      <w:kern w:val="2"/>
      <w:sz w:val="18"/>
      <w:szCs w:val="18"/>
    </w:rPr>
  </w:style>
  <w:style w:type="character" w:customStyle="1" w:styleId="84">
    <w:name w:val="font31"/>
    <w:basedOn w:val="24"/>
    <w:qFormat/>
    <w:uiPriority w:val="0"/>
    <w:rPr>
      <w:rFonts w:hint="default" w:ascii="幼圆" w:hAnsi="幼圆" w:eastAsia="幼圆" w:cs="幼圆"/>
      <w:color w:val="000000"/>
      <w:sz w:val="24"/>
      <w:szCs w:val="24"/>
      <w:u w:val="none"/>
    </w:rPr>
  </w:style>
  <w:style w:type="paragraph" w:styleId="85">
    <w:name w:val="List Paragraph"/>
    <w:basedOn w:val="1"/>
    <w:unhideWhenUsed/>
    <w:qFormat/>
    <w:uiPriority w:val="99"/>
    <w:pPr>
      <w:ind w:firstLine="420" w:firstLineChars="200"/>
    </w:pPr>
  </w:style>
  <w:style w:type="paragraph" w:customStyle="1" w:styleId="86">
    <w:name w:val="无间隔1"/>
    <w:qFormat/>
    <w:uiPriority w:val="1"/>
    <w:pPr>
      <w:widowControl w:val="0"/>
      <w:spacing w:line="400" w:lineRule="exact"/>
      <w:jc w:val="both"/>
    </w:pPr>
    <w:rPr>
      <w:rFonts w:ascii="Calibri" w:hAnsi="Calibri" w:eastAsiaTheme="minorEastAsia" w:cstheme="minorBidi"/>
      <w:kern w:val="2"/>
      <w:sz w:val="24"/>
      <w:szCs w:val="24"/>
      <w:lang w:val="en-US" w:eastAsia="zh-CN" w:bidi="ar-SA"/>
    </w:rPr>
  </w:style>
  <w:style w:type="paragraph" w:customStyle="1" w:styleId="87">
    <w:name w:val="正文1"/>
    <w:qFormat/>
    <w:uiPriority w:val="0"/>
    <w:pPr>
      <w:widowControl w:val="0"/>
      <w:jc w:val="both"/>
    </w:pPr>
    <w:rPr>
      <w:rFonts w:ascii="Times New Roman" w:hAnsi="Times New Roman" w:eastAsia="宋体" w:cs="Times New Roman"/>
      <w:kern w:val="2"/>
      <w:sz w:val="21"/>
      <w:szCs w:val="21"/>
      <w:lang w:val="en-US" w:eastAsia="zh-CN" w:bidi="ar-SA"/>
    </w:rPr>
  </w:style>
  <w:style w:type="character" w:customStyle="1" w:styleId="88">
    <w:name w:val="font41"/>
    <w:basedOn w:val="24"/>
    <w:qFormat/>
    <w:uiPriority w:val="0"/>
    <w:rPr>
      <w:rFonts w:hint="eastAsia" w:ascii="宋体" w:hAnsi="宋体" w:eastAsia="宋体" w:cs="宋体"/>
      <w:color w:val="000000"/>
      <w:sz w:val="22"/>
      <w:szCs w:val="22"/>
      <w:u w:val="none"/>
    </w:rPr>
  </w:style>
  <w:style w:type="character" w:customStyle="1" w:styleId="89">
    <w:name w:val="font151"/>
    <w:basedOn w:val="24"/>
    <w:qFormat/>
    <w:uiPriority w:val="0"/>
    <w:rPr>
      <w:rFonts w:hint="default" w:ascii="Arial" w:hAnsi="Arial" w:cs="Arial"/>
      <w:color w:val="000000"/>
      <w:sz w:val="20"/>
      <w:szCs w:val="20"/>
      <w:u w:val="none"/>
    </w:rPr>
  </w:style>
  <w:style w:type="character" w:customStyle="1" w:styleId="90">
    <w:name w:val="font201"/>
    <w:basedOn w:val="24"/>
    <w:qFormat/>
    <w:uiPriority w:val="0"/>
    <w:rPr>
      <w:rFonts w:hint="eastAsia" w:ascii="宋体" w:hAnsi="宋体" w:eastAsia="宋体" w:cs="宋体"/>
      <w:color w:val="000000"/>
      <w:sz w:val="20"/>
      <w:szCs w:val="20"/>
      <w:u w:val="none"/>
    </w:rPr>
  </w:style>
  <w:style w:type="character" w:customStyle="1" w:styleId="91">
    <w:name w:val="font261"/>
    <w:basedOn w:val="24"/>
    <w:qFormat/>
    <w:uiPriority w:val="0"/>
    <w:rPr>
      <w:rFonts w:hint="default" w:ascii="PMingLiU" w:hAnsi="PMingLiU" w:eastAsia="PMingLiU" w:cs="PMingLiU"/>
      <w:color w:val="000000"/>
      <w:sz w:val="22"/>
      <w:szCs w:val="22"/>
      <w:u w:val="none"/>
    </w:rPr>
  </w:style>
  <w:style w:type="character" w:customStyle="1" w:styleId="92">
    <w:name w:val="font131"/>
    <w:basedOn w:val="24"/>
    <w:qFormat/>
    <w:uiPriority w:val="0"/>
    <w:rPr>
      <w:rFonts w:hint="eastAsia" w:ascii="宋体" w:hAnsi="宋体" w:eastAsia="宋体" w:cs="宋体"/>
      <w:color w:val="000000"/>
      <w:sz w:val="22"/>
      <w:szCs w:val="22"/>
      <w:u w:val="none"/>
    </w:rPr>
  </w:style>
  <w:style w:type="character" w:customStyle="1" w:styleId="93">
    <w:name w:val="font312"/>
    <w:basedOn w:val="24"/>
    <w:qFormat/>
    <w:uiPriority w:val="0"/>
    <w:rPr>
      <w:rFonts w:hint="eastAsia" w:ascii="宋体" w:hAnsi="宋体" w:eastAsia="宋体" w:cs="宋体"/>
      <w:color w:val="3C3C3C"/>
      <w:sz w:val="20"/>
      <w:szCs w:val="20"/>
      <w:u w:val="none"/>
    </w:rPr>
  </w:style>
  <w:style w:type="paragraph" w:customStyle="1" w:styleId="94">
    <w:name w:val="Char1 Char Char Char Char Char Char"/>
    <w:basedOn w:val="1"/>
    <w:qFormat/>
    <w:uiPriority w:val="0"/>
    <w:pPr>
      <w:widowControl w:val="0"/>
      <w:textAlignment w:val="auto"/>
    </w:pPr>
    <w:rPr>
      <w:rFonts w:ascii="Tahoma" w:hAnsi="Tahoma" w:cs="Times New Roman"/>
      <w:sz w:val="24"/>
      <w:szCs w:val="20"/>
    </w:rPr>
  </w:style>
  <w:style w:type="paragraph" w:customStyle="1" w:styleId="95">
    <w:name w:val="正文_58"/>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6">
    <w:name w:val="Table Text"/>
    <w:basedOn w:val="1"/>
    <w:semiHidden/>
    <w:qFormat/>
    <w:uiPriority w:val="0"/>
    <w:rPr>
      <w:rFonts w:ascii="宋体" w:hAnsi="宋体" w:cs="宋体"/>
      <w:sz w:val="24"/>
      <w:lang w:eastAsia="en-US"/>
    </w:rPr>
  </w:style>
  <w:style w:type="paragraph" w:customStyle="1" w:styleId="97">
    <w:name w:val="null3"/>
    <w:autoRedefine/>
    <w:qFormat/>
    <w:uiPriority w:val="0"/>
    <w:rPr>
      <w:rFonts w:hint="eastAsia" w:ascii="Calibri" w:hAnsi="Calibri" w:eastAsia="宋体" w:cs="Times New Roman"/>
      <w:lang w:val="en-US" w:eastAsia="zh-CN" w:bidi="ar-SA"/>
    </w:rPr>
  </w:style>
  <w:style w:type="paragraph" w:customStyle="1" w:styleId="98">
    <w:name w:val="Fließtext"/>
    <w:basedOn w:val="1"/>
    <w:autoRedefine/>
    <w:qFormat/>
    <w:uiPriority w:val="0"/>
    <w:pPr>
      <w:overflowPunct w:val="0"/>
      <w:autoSpaceDE w:val="0"/>
      <w:autoSpaceDN w:val="0"/>
      <w:adjustRightInd w:val="0"/>
    </w:pPr>
    <w:rPr>
      <w:kern w:val="28"/>
      <w:szCs w:val="20"/>
    </w:rPr>
  </w:style>
  <w:style w:type="paragraph" w:customStyle="1" w:styleId="99">
    <w:name w:val="文档正文"/>
    <w:basedOn w:val="1"/>
    <w:autoRedefine/>
    <w:qFormat/>
    <w:uiPriority w:val="0"/>
    <w:pPr>
      <w:adjustRightInd w:val="0"/>
      <w:spacing w:afterLines="100" w:line="360" w:lineRule="auto"/>
      <w:ind w:firstLine="567"/>
      <w:textAlignment w:val="baseline"/>
    </w:pPr>
    <w:rPr>
      <w:rFonts w:ascii="Arial" w:hAnsi="Arial"/>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44AF03-72A9-491A-BEEC-EC5EDB8A9965}">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37</Pages>
  <Words>12063</Words>
  <Characters>13109</Characters>
  <Lines>64</Lines>
  <Paragraphs>18</Paragraphs>
  <TotalTime>10</TotalTime>
  <ScaleCrop>false</ScaleCrop>
  <LinksUpToDate>false</LinksUpToDate>
  <CharactersWithSpaces>13249</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2022-08-19T03:12:00Z</dcterms:created>
  <dc:creator>Administrator</dc:creator>
  <cp:lastModifiedBy>111111111</cp:lastModifiedBy>
  <cp:lastPrinted>2022-12-30T09:51:00Z</cp:lastPrinted>
  <dcterms:modified xsi:type="dcterms:W3CDTF">2026-08-11T01:29:05Z</dcterms:modified>
  <cp:revision>193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70578B8BB8B248B497CB466A5B0C6C61_13</vt:lpwstr>
  </property>
  <property fmtid="{D5CDD505-2E9C-101B-9397-08002B2CF9AE}" pid="4" name="KSOTemplateDocerSaveRecord">
    <vt:lpwstr>eyJoZGlkIjoiOGY1NTFmOTc5Zjg2ZDk3MTExYmRmZDc1MTIxNzZmZmMifQ==</vt:lpwstr>
  </property>
</Properties>
</file>