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福建省翔安监狱伙房蔬菜配送服务项目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CGXM-2025-350001-00565[2025]00363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[350001]FJGC[GK]2025005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福建省翔安监狱</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福建国诚招标有限公司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福建国诚招标有限公司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福建省翔安监狱伙房蔬菜配送服务项目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CGXM-2025-350001-00565[2025]00363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[350001]FJGC[GK]2025005</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both"/>
            </w:pPr>
            <w:r>
              <w:rPr>
                <w:rFonts w:ascii="仿宋_GB2312" w:hAnsi="仿宋_GB2312" w:cs="仿宋_GB2312" w:eastAsia="仿宋_GB2312"/>
              </w:rPr>
              <w:t>采购人根据采购项目的要求规定的特定条件</w:t>
            </w:r>
          </w:p>
        </w:tc>
        <w:tc>
          <w:tcPr>
            <w:tcW w:type="dxa" w:w="4614"/>
          </w:tcPr>
          <w:p>
            <w:pPr>
              <w:pStyle w:val="null3"/>
              <w:jc w:val="both"/>
            </w:pPr>
            <w:r>
              <w:rPr>
                <w:rFonts w:ascii="仿宋_GB2312" w:hAnsi="仿宋_GB2312" w:cs="仿宋_GB2312" w:eastAsia="仿宋_GB2312"/>
              </w:rPr>
              <w:t>投标人须具备有效的《食品生产许可证》或《食品经营许可证》或《食品药品经营许可证》或《食品药品生产经营许可证》，须提供相关证件复印件。在投标截止时间前，如因国家政策调整，国家有关行政部门有颁发新的食品方面许可证书的，应从其规定，投标人须在投标文件中做出书面说明。</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本采购包专门面向小微企业采购，非小微企业的将被拒绝，须提供相关证明材料： 1、供应商提供的服务应符合《政府采购促进中小企业发展管理办法》(财库〔2020〕46号) 第四条规定的情形，且应当提供《政府采购促进中小企业发展管理办法》(财库〔2020〕46号)规定的《中小企业声明函》，格式见采购文件相关附件。本项目采购标的对应的小微企业划分标准所属行业详见“附2：采购标的一览表”中的所属行业，应对应填写《中小企业声明函》(工程、服务)模板，若供应商填写的《中小企业声明函》不是对应模板的或者提供的《中小企业声明函》中填写的行业与招标文件明确的采购标的对应的小微企业划分标准所属行业不一致，均不予认定为小微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3、供应商为残疾人福利性单位的视同小型和微型企业，可不提供以上第1点材料，但应当提供《残疾人福利性单位声明函》，格式见第七章《投标文件格式》附件。</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福建省翔安监狱</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厦门市翔安区内厝镇官路北路1号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0592-7888217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福建国诚招标有限公司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福州市鼓楼区古田路中美大厦二十四层东单元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张凤玲</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0592-5131857、5131957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福建国诚招标有限公司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p>
      <w:pPr>
        <w:pStyle w:val="null3"/>
        <w:jc w:val="left"/>
      </w:pPr>
      <w:r>
        <w:rPr>
          <w:rFonts w:ascii="仿宋_GB2312" w:hAnsi="仿宋_GB2312" w:cs="仿宋_GB2312" w:eastAsia="仿宋_GB2312"/>
        </w:rPr>
        <w:t>采购包保证金金额（元）: 15,000.00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C23130100 农畜产品批发服务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1,500,000.00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批发业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福建省翔安监狱伙房蔬菜配送服务项目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福建省翔安监狱伙房蔬菜配送服务项目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福建省翔安监狱伙房蔬菜配送服务项目</w:t>
            </w:r>
          </w:p>
        </w:tc>
        <w:tc>
          <w:tcPr>
            <w:tcW w:type="dxa" w:w="2076"/>
          </w:tcPr>
          <w:p>
            <w:pPr>
              <w:pStyle w:val="null3"/>
              <w:jc w:val="left"/>
            </w:pPr>
            <w:r>
              <w:rPr>
                <w:rFonts w:ascii="仿宋_GB2312" w:hAnsi="仿宋_GB2312" w:cs="仿宋_GB2312" w:eastAsia="仿宋_GB2312"/>
              </w:rPr>
              <w:t>福建省翔安监狱伙房蔬菜配送服务项目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随机抽取。</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福建国诚招标有限公司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-1本项目的招标代理服务费向中标人收取，以中标通知书规定的中标金额作为收费的计算基数，中标人应按差额定率累进法计算，向采购代理机构交纳招标代理服务费。招标代理服务收费的标准：50(万元)以下收费费率标准：1.0%；50-100 (万元)收费费率标准：0.9%；100-500 (万元)收费费率标准：0.5%。(1)-2招标代理服务费收取方式： ①中标人应在领取中标通知书的同时按规定的标准一次性向采购代理机构缴清招标代理服务费。招标代理服务费以银行转账、电汇、汇票或现金等付款方式。 ②招标代理服务费缴交银行账号：开户名：福建国诚招标有限公司厦门分公司；开户行：兴业银行厦门吕岭支行；帐号：129300100100132261。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投标人超过最高限价的报价为无效报价。根据《中华人民共和国价格法》第六条、第十八条规定，投标人依法有权自主制定属于市场调节的价格，有权根据企业的生产经营成本等自身情况和市场供求状况等外部因素自主定价。 (2)-2实质性要求和条件： (2)-2.1投标人须承诺所投货物在中国国家认证认可监督管理委员会(http://www.cnca.gov.cn)的《强制性产品认证目录描述与界定表》范畴内的，均符合国家强制要求及认证，未提供承诺函的投标无效。 (2)-2.2本次采购项目产品不属于政府强制采购节能产品。 (2)-2.3本项目采购的产品未经过进口产品论证，采购的货物为国内产品，不接受进口产品(组件、零配件除外)投标。 (2)-2.4无效投标及废标条款： 以下为可能导致无效投标或废标的条款，具体内容详见招标文件各章节，请各投标人认真查看对照。 (1)投标报价不符合投标人须知前附表1“最高限价”规定的。 (2)不符合投标人须知前附表1“实质性要求和条件”规定的。 (3)出现“评标方法和标准”无效投标规定的。 (4)出现第三章投标人须知无效投标规定的。 (5)出现第四章资格审查与评标无效投标规定的。 (6)出现第五章招标内容及要求中“★”标示的内容为负偏离的。 (7)出现第五章招标内容及要求无效投标规定的。 (8)明显不符合技术和服务要求的为无效响应。 (9)内容不全或关键字迹模糊、无法辨认的为无效响应。 (2)-3根据《政府采购质疑和投诉办法》(财政部令第94号)第十六条的规定：对采购过程……应当依法另行确定中标、成交供应商；否则应当重新开展采购活动。 (2)-4质疑与投诉 (2)-4.1质疑 (2)-4.1.1根据《政府采购质疑和投诉办法》(财政部令第94号)第十条规定，供应商认为……提出质疑。 根据《中华人民共和国政府采购法实施条例》第五十三条规定，政府采购法第五十二条规定的供应商应知其权益受到损害之日，是指： ①对可以质疑的采购文件提出质疑的，为收到采购文件之日或者采购文件公告期限届满之日； ②对采购过程提出质疑的，为各采购程序环节结束之日； ③对成交结果提出质疑的，为成交结果公告期限届满之日。 (2)-4.1.2供应商在法定质疑期内须一次性提出针对同一采购程序环节的质疑。 (2)-4.1.3接收质疑函的方式、联系部门、联系电话和通讯地址： ①接收质疑函的方式：现场方式； ②接收质疑函的联系部门：办公室； ③接收质疑函的联系电话：：0592-5131857/957； ④接收质疑函的通讯地址：厦门市湖里区金泰路318号企鸣财富中心A栋608单元福建国诚招标有限公司。 (2)-4.2投诉 (2)-4.2.1根据《政府采购质疑和投诉办法》(财政部令第94号)第十八条规定，“投诉人投诉时,……提供投诉书的副本”。 根据《政府采购质疑和投诉办法》(财政部令第94号)第二十条规定，“供应商投诉的事项不得超出已质疑事项的范围，但基于质疑答复内容提出的投诉事项除外。” (2)-5无供应商为本次采购项目提供设计、编制规范、进行管理等服务。</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二章“投标人须知前附表”表2中关于“⑥关于投标截止时间过后”规定“b.有下列情形之一的，其投标无效,其保证金不予退还：b1不同投标人的电子投标文件具有相同内部识别码；b2不同投标人的投标保证金从同一单位或个人的账户转出；”</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b.根据《福建省财政厅关于电子化政府采购项目中视为串标情形认定与处理的指导意见》闽财购〔2018〕30号规定，有下列情形之一的，视为投标人串通投标，其投标无效，没收其投标保证金，并书面报告本级财政部门： b1不同投标人的投标保证金转出账户的银行账户名 称相同的； b2投标人上传电子投标文件被福建省政府采购网上公开信息系统投标客户端所赋予的项目内部识别码与本招标项目的其他投标人相同的； b3系统记录的编制电子投标文件使用的计算机或上传电子投标文件使用的计算机网卡 MAC 地址与本招标项目的其他投标人一致的； b4投标人上传的电子投标文件若出现使用本项目其他投标人的数字证书加密的或加盖本项目的其他投标人的电子印章的。</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⑧-1电子投标文件的投标总价、投标客户端填写的投标报价应保持一致，并以投标客户端填写的投标报价为准。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福建国诚招标有限公司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福建国诚招标有限公司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福建国诚招标有限公司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福建国诚招标有限公司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福建国诚招标有限公司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福建国诚招标有限公司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福建国诚招标有限公司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福建国诚招标有限公司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福建国诚招标有限公司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福建国诚招标有限公司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福建国诚招标有限公司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福建国诚招标有限公司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福建国诚招标有限公司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福建国诚招标有限公司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福建国诚招标有限公司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福建国诚招标有限公司</w:t>
      </w:r>
      <w:r>
        <w:rPr>
          <w:rFonts w:ascii="仿宋_GB2312" w:hAnsi="仿宋_GB2312" w:cs="仿宋_GB2312" w:eastAsia="仿宋_GB2312"/>
        </w:rPr>
        <w:t xml:space="preserve"> 提出询问， </w:t>
      </w:r>
      <w:r>
        <w:rPr>
          <w:rFonts w:ascii="仿宋_GB2312" w:hAnsi="仿宋_GB2312" w:cs="仿宋_GB2312" w:eastAsia="仿宋_GB2312"/>
        </w:rPr>
        <w:t>福建国诚招标有限公司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福建国诚招标有限公司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由福建国诚招标有限公司派出的工作人员至少1人，</w:t>
      </w:r>
      <w:r>
        <w:rPr>
          <w:rFonts w:ascii="仿宋_GB2312" w:hAnsi="仿宋_GB2312" w:cs="仿宋_GB2312" w:eastAsia="仿宋_GB2312"/>
        </w:rPr>
        <w:t>其余1人可为采购人代表或福建国诚招标有限公司的工作人员。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投标人须具备有效的《食品生产许可证》或《食品经营许可证》或《食品药品经营许可证》或《食品药品生产经营许可证》，须提供相关证件复印件。在投标截止时间前，如因国家政策调整，国家有关行政部门有颁发新的食品方面许可证书的，应从其规定，投标人须在投标文件中做出书面说明。</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本采购包专门面向小微企业采购，非小微企业的将被拒绝，须提供相关证明材料： 1、供应商提供的服务应符合《政府采购促进中小企业发展管理办法》(财库〔2020〕46号) 第四条规定的情形，且应当提供《政府采购促进中小企业发展管理办法》(财库〔2020〕46号)规定的《中小企业声明函》，格式见采购文件相关附件。本项目采购标的对应的小微企业划分标准所属行业详见“附2：采购标的一览表”中的所属行业，应对应填写《中小企业声明函》(工程、服务)模板，若供应商填写的《中小企业声明函》不是对应模板的或者提供的《中小企业声明函》中填写的行业与招标文件明确的采购标的对应的小微企业划分标准所属行业不一致，均不予认定为小微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3、供应商为残疾人福利性单位的视同小型和微型企业，可不提供以上第1点材料，但应当提供《残疾人福利性单位声明函》，格式见第七章《投标文件格式》附件。</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资格及资信证明部分中不得出现报价部分的全部或部分的投标报价信息(或组成资料)，否则资格性审查不合格。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福建国诚招标有限公司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投标文件载明的货物包装方式、检验标准和方法等不符合招标文件要求或未载明货物包装方式、检验标准和方法的；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一个投标人不止投一个标；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14</w:t>
            </w:r>
          </w:p>
        </w:tc>
        <w:tc>
          <w:tcPr>
            <w:tcW w:type="dxa" w:w="3115"/>
          </w:tcPr>
          <w:p>
            <w:pPr>
              <w:pStyle w:val="null3"/>
              <w:jc w:val="left"/>
            </w:pPr>
            <w:r>
              <w:rPr>
                <w:rFonts w:ascii="仿宋_GB2312" w:hAnsi="仿宋_GB2312" w:cs="仿宋_GB2312" w:eastAsia="仿宋_GB2312"/>
              </w:rPr>
              <w:t>情形14</w:t>
            </w:r>
          </w:p>
        </w:tc>
        <w:tc>
          <w:tcPr>
            <w:tcW w:type="dxa" w:w="4153"/>
          </w:tcPr>
          <w:p>
            <w:pPr>
              <w:pStyle w:val="null3"/>
              <w:jc w:val="left"/>
            </w:pPr>
            <w:r>
              <w:rPr>
                <w:rFonts w:ascii="仿宋_GB2312" w:hAnsi="仿宋_GB2312" w:cs="仿宋_GB2312" w:eastAsia="仿宋_GB2312"/>
              </w:rPr>
              <w:t>评标委员会认为应当停止评标工作的。</w:t>
            </w:r>
          </w:p>
        </w:tc>
      </w:tr>
      <w:tr>
        <w:tc>
          <w:tcPr>
            <w:tcW w:type="dxa" w:w="1038"/>
          </w:tcPr>
          <w:p>
            <w:pPr>
              <w:pStyle w:val="null3"/>
              <w:jc w:val="left"/>
            </w:pPr>
            <w:r>
              <w:rPr>
                <w:rFonts w:ascii="仿宋_GB2312" w:hAnsi="仿宋_GB2312" w:cs="仿宋_GB2312" w:eastAsia="仿宋_GB2312"/>
              </w:rPr>
              <w:t>15</w:t>
            </w:r>
          </w:p>
        </w:tc>
        <w:tc>
          <w:tcPr>
            <w:tcW w:type="dxa" w:w="3115"/>
          </w:tcPr>
          <w:p>
            <w:pPr>
              <w:pStyle w:val="null3"/>
              <w:jc w:val="left"/>
            </w:pPr>
            <w:r>
              <w:rPr>
                <w:rFonts w:ascii="仿宋_GB2312" w:hAnsi="仿宋_GB2312" w:cs="仿宋_GB2312" w:eastAsia="仿宋_GB2312"/>
              </w:rPr>
              <w:t>情形15</w:t>
            </w:r>
          </w:p>
        </w:tc>
        <w:tc>
          <w:tcPr>
            <w:tcW w:type="dxa" w:w="4153"/>
          </w:tcPr>
          <w:p>
            <w:pPr>
              <w:pStyle w:val="null3"/>
              <w:jc w:val="left"/>
            </w:pPr>
            <w:r>
              <w:rPr>
                <w:rFonts w:ascii="仿宋_GB2312" w:hAnsi="仿宋_GB2312" w:cs="仿宋_GB2312" w:eastAsia="仿宋_GB2312"/>
              </w:rPr>
              <w:t>招标文件中带“★”的条款的有任何负偏离或不满足的。</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1、未按照招标文件规定要求签署、盖章的；</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2、不符合招标文件中规定的实质性要求和条件；</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3、属于招标文件中规定的无效投标条款的情形；</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4、属于招标文件规定的符合性检查不合格情形；</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5、属于招标文件规定评标委员会应否决其投标的情形；</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1、未按照招标文件规定要求签署、盖章的；</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2、投标文件载明的招标项目交付时间超过招标文件规定或未载明招标项目交付时间的；</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3、投标文件载明的货物包装方式、检验标准和方法等不符合招标文件要求或未载明货物包装方式、检验标准和方法的；</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4、属于招标文件规定的符合性检查不合格情形；</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5、不符合招标文件中规定的实质性要求和条件；</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6、属于招标文件中规定的无效投标条款的情形；</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7、属于招标文件规定评标委员会应否决其投标的情形；</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 xml:space="preserve"> 8、投标文件的商务部分中出现报价部分的全部或部分的投标报价信息(或组成资料)。</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报价相同的，采取随机抽取方式确定，其他投标无效。</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 投标保证金收取理由：为了避免因投标人投标后随意撤回、撤销投标或随意变更应承担相应的义务给采购人造成损失。 (2)招标文件第七章“投标文件格式”中“中小企业声明函(工程、服务)”关于“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的内容。修改为“2、投标人须按招标文件中明确的所属行业填列，否则，其提供的中小企业声明将被判定为无效声明函，由此造成的后果由投标人自行承担(涉及资格的按无效投标处理；涉及价格评审优惠的，不予认定)。” (3)投标截止时间在6月 1日(不含)前，“经审计的上一年度的年度财务报告”指投标截止时间的上一年度或上一年度之前的一年；投标截止时间在 6 月 1日(含)后，“经审计的上一年度的年度财务报告”指投标截止时间本年度之前的一年，特别说明除外。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、本项目为福建省翔安监狱伙房蔬菜配送服务项目，包含蔬菜类供应、包装、送货及售后服务。</w:t>
      </w:r>
    </w:p>
    <w:p>
      <w:pPr>
        <w:pStyle w:val="null3"/>
        <w:ind w:firstLine="49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、本项目预算金额为预估，具体以供货期限内采购人实际采购数量为准，采购人不承诺保底采购量。</w:t>
      </w:r>
    </w:p>
    <w:p>
      <w:pPr>
        <w:pStyle w:val="null3"/>
        <w:ind w:firstLine="49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、供货方式：定点采购、分批供货，根据采购人要求的时间、地点供货，并送至采购人指定地点，经过磅、数量清点、摆放整齐等并验收合格。</w:t>
      </w:r>
    </w:p>
    <w:p>
      <w:pPr>
        <w:pStyle w:val="null3"/>
        <w:ind w:firstLine="49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、报价要求</w:t>
      </w:r>
    </w:p>
    <w:p>
      <w:pPr>
        <w:pStyle w:val="null3"/>
        <w:ind w:firstLine="482"/>
        <w:jc w:val="both"/>
      </w:pPr>
      <w:r>
        <w:rPr>
          <w:rFonts w:ascii="仿宋_GB2312" w:hAnsi="仿宋_GB2312" w:cs="仿宋_GB2312" w:eastAsia="仿宋_GB2312"/>
          <w:sz w:val="24"/>
          <w:color w:val="000000"/>
        </w:rPr>
        <w:t>4.1</w:t>
      </w:r>
      <w:r>
        <w:rPr>
          <w:rFonts w:ascii="仿宋_GB2312" w:hAnsi="仿宋_GB2312" w:cs="仿宋_GB2312" w:eastAsia="仿宋_GB2312"/>
          <w:sz w:val="24"/>
          <w:color w:val="000000"/>
        </w:rPr>
        <w:t>投标报价包括中标人履行本项目所产生的一切费用,包括但不限于食材费用、人工、材料、损耗、生产、检验检疫、运输、搬运、管理、保险、利润、包装、加工、各种税费、售后服务、免费按时退换货服务等费用。</w:t>
      </w:r>
    </w:p>
    <w:p>
      <w:pPr>
        <w:pStyle w:val="null3"/>
        <w:ind w:firstLine="482"/>
        <w:jc w:val="both"/>
      </w:pPr>
      <w:r>
        <w:rPr>
          <w:rFonts w:ascii="仿宋_GB2312" w:hAnsi="仿宋_GB2312" w:cs="仿宋_GB2312" w:eastAsia="仿宋_GB2312"/>
          <w:sz w:val="24"/>
          <w:color w:val="000000"/>
        </w:rPr>
        <w:t>4.2</w:t>
      </w:r>
      <w:r>
        <w:rPr>
          <w:rFonts w:ascii="仿宋_GB2312" w:hAnsi="仿宋_GB2312" w:cs="仿宋_GB2312" w:eastAsia="仿宋_GB2312"/>
          <w:sz w:val="24"/>
          <w:color w:val="000000"/>
        </w:rPr>
        <w:t xml:space="preserve">下浮率与投标报价：本项目按统一的“下浮率”进行报价（所有产品的下浮率须一致），因福建省政府采购网上公开信息系统无法填报投标“下浮率”，只能填写金额，因此各投标人在电子后台系统上应填写下浮后的投标总价（投标总价“四舍五入”保留至小数点后两位，以“元”为单位），作为本项目的价格评审及下浮率计算使用。 </w:t>
      </w:r>
    </w:p>
    <w:p>
      <w:pPr>
        <w:pStyle w:val="null3"/>
        <w:ind w:firstLine="482"/>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计算公式如下：投标总价=采购预算金额×（1-投标报价下浮率）。例：本项目预算金额为1500000元，下浮率为10.00%，则投标报价1500000×（1-10.00%）=1350000元。则投标人应在福建省政府采购网上公开信息系统报价部分填入投标总价为1350000元。</w:t>
      </w:r>
    </w:p>
    <w:p>
      <w:pPr>
        <w:pStyle w:val="null3"/>
        <w:ind w:firstLine="482"/>
        <w:jc w:val="both"/>
      </w:pPr>
      <w:r>
        <w:rPr>
          <w:rFonts w:ascii="仿宋_GB2312" w:hAnsi="仿宋_GB2312" w:cs="仿宋_GB2312" w:eastAsia="仿宋_GB2312"/>
          <w:sz w:val="24"/>
          <w:color w:val="000000"/>
        </w:rPr>
        <w:t>4.4</w:t>
      </w:r>
      <w:r>
        <w:rPr>
          <w:rFonts w:ascii="仿宋_GB2312" w:hAnsi="仿宋_GB2312" w:cs="仿宋_GB2312" w:eastAsia="仿宋_GB2312"/>
          <w:sz w:val="24"/>
          <w:color w:val="000000"/>
        </w:rPr>
        <w:t>本项目投标人的投标报价不作为合同执行价格，评标时的报价只作为获取按实结算的下浮率依据，不作为实际结算的合同金额。</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、若合同期满或在合同期内采购总金额已经达到本项目预算金额，则本合同自动终止（即视为供货期限届满)。</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、若本项目相关标准遇国家重新修订，自新标准实行之日起采用新标准执行。</w:t>
      </w:r>
    </w:p>
    <w:p>
      <w:pPr>
        <w:pStyle w:val="null3"/>
        <w:ind w:firstLine="480"/>
        <w:jc w:val="both"/>
      </w:pPr>
      <w:r>
        <w:rPr>
          <w:rFonts w:ascii="仿宋_GB2312" w:hAnsi="仿宋_GB2312" w:cs="仿宋_GB2312" w:eastAsia="仿宋_GB2312"/>
          <w:sz w:val="24"/>
          <w:b/>
          <w:color w:val="000000"/>
        </w:rPr>
        <w:t>★7、本章“二、技术和服务要求”及“三、商务要求”</w:t>
      </w:r>
      <w:r>
        <w:rPr>
          <w:rFonts w:ascii="仿宋_GB2312" w:hAnsi="仿宋_GB2312" w:cs="仿宋_GB2312" w:eastAsia="仿宋_GB2312"/>
          <w:sz w:val="24"/>
          <w:b/>
          <w:color w:val="000000"/>
        </w:rPr>
        <w:t>项下的内容均为不允许负偏离的实质性要求</w:t>
      </w:r>
      <w:r>
        <w:rPr>
          <w:rFonts w:ascii="仿宋_GB2312" w:hAnsi="仿宋_GB2312" w:cs="仿宋_GB2312" w:eastAsia="仿宋_GB2312"/>
          <w:sz w:val="24"/>
          <w:b/>
          <w:color w:val="000000"/>
        </w:rPr>
        <w:t>，负偏离或未响应的投标无效。</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、蔬菜类配送服务项目采购品项表</w:t>
      </w:r>
    </w:p>
    <w:tbl>
      <w:tblPr>
        <w:tblW w:w="0" w:type="auto"/>
        <w:tblBorders>
          <w:top w:val="none" w:color="000000" w:sz="4"/>
          <w:left w:val="none" w:color="000000" w:sz="4"/>
          <w:bottom w:val="none" w:color="000000" w:sz="4"/>
          <w:right w:val="none" w:color="000000" w:sz="4"/>
          <w:insideH w:val="none"/>
          <w:insideV w:val="none"/>
        </w:tblBorders>
      </w:tblPr>
      <w:tblGrid>
        <w:gridCol w:w="871"/>
        <w:gridCol w:w="1953"/>
        <w:gridCol w:w="871"/>
        <w:gridCol w:w="1802"/>
        <w:gridCol w:w="871"/>
        <w:gridCol w:w="1938"/>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序号</w:t>
            </w:r>
          </w:p>
        </w:tc>
        <w:tc>
          <w:tcPr>
            <w:tcW w:type="dxa" w:w="19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名称</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序号</w:t>
            </w:r>
          </w:p>
        </w:tc>
        <w:tc>
          <w:tcPr>
            <w:tcW w:type="dxa" w:w="18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名称</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序号</w:t>
            </w:r>
          </w:p>
        </w:tc>
        <w:tc>
          <w:tcPr>
            <w:tcW w:type="dxa" w:w="19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名称</w:t>
            </w:r>
          </w:p>
        </w:tc>
      </w:tr>
      <w:tr>
        <w:tc>
          <w:tcPr>
            <w:tcW w:type="dxa" w:w="282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shd w:fill="FFFFFF" w:val="clear"/>
              </w:rPr>
              <w:t>根  茎  类</w:t>
            </w:r>
          </w:p>
        </w:tc>
        <w:tc>
          <w:tcPr>
            <w:tcW w:type="dxa" w:w="267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叶  菜  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47</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苦瓜</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蒜苗（鲜蒜）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24</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大白菜（夏阳白）</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48</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紫薯</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芹菜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25</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春菜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49</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彩椒</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绿豆芽</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26</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小葱（香葱）</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50</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红辣椒</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白萝卜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27</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上海青</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51</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合瓜（佛手瓜）</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洋葱（白葱）</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28</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包菜（圆白菜）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52</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胡瓜</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红萝卜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29</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小白菜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53</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蒜头（蒜头米）</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7</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槟榔芋</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30</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菠菜（菠林菜）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54</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云南小瓜</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8</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花菜（青梗花菜）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31</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韭黄</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55</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青辣椒（青椒、尖椒）</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9</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西兰花</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32</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韭菜花</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56</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冬瓜</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10</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西芹（西洋芹）</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33</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芥兰（广东芥兰）</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57</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菜椒(圆椒、甜椒)</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11</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黄豆芽</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34</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菜心（广东菜心）</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58</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红薯（番薯、地瓜）</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12</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胶白（茭白）</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35</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韭菜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黄瓜（菜瓜、青瓜）</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13</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莲藕</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36</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空心菜</w:t>
            </w:r>
          </w:p>
        </w:tc>
        <w:tc>
          <w:tcPr>
            <w:tcW w:type="dxa" w:w="280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菌  菇  类</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14</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天津白（快白）</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37</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苋菜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60</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鲜香菇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15</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光芋仔（芋头）</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38</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茼蒿</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61</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蘑菇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16</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生姜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39</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油麦菜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62</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草菇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17</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红葱头</w:t>
            </w:r>
          </w:p>
        </w:tc>
        <w:tc>
          <w:tcPr>
            <w:tcW w:type="dxa" w:w="267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瓜果类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63</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杏鲍菇（杏包菇）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18</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大葱</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40</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茄子</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64</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秀珍菇（袖珍菇）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19</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甜笋</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41</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玉米（去皮玉米棒）</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65</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小平菇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20</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冬笋（春笋）</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42</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南瓜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66</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蟹味菇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21</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莴笋</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43</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丝瓜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67</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金针菇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22</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芥菜</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44</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西红柿</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凤尾菇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23</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土豆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45</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长豆角（菜豆）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滑菇</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46</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秋葵（洋茄）</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湿木耳</w:t>
            </w:r>
          </w:p>
        </w:tc>
      </w:tr>
    </w:tbl>
    <w:p>
      <w:pPr>
        <w:pStyle w:val="null3"/>
        <w:ind w:firstLine="480"/>
        <w:jc w:val="both"/>
      </w:pPr>
      <w:r>
        <w:rPr>
          <w:rFonts w:ascii="仿宋_GB2312" w:hAnsi="仿宋_GB2312" w:cs="仿宋_GB2312" w:eastAsia="仿宋_GB2312"/>
          <w:sz w:val="24"/>
          <w:color w:val="000000"/>
        </w:rPr>
        <w:t>注：①实际采购项目品种不限于以上货物名称，具体以采购人下单为准，但目录外货物供应总金额不得超过该合同包金额的5%。</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、市调采价</w:t>
      </w:r>
      <w:r>
        <w:rPr>
          <w:rFonts w:ascii="仿宋_GB2312" w:hAnsi="仿宋_GB2312" w:cs="仿宋_GB2312" w:eastAsia="仿宋_GB2312"/>
          <w:sz w:val="24"/>
          <w:b/>
          <w:color w:val="000000"/>
          <w:shd w:fill="FFFFFF" w:val="clear"/>
        </w:rPr>
        <w:t>标准与结算依据</w:t>
      </w:r>
    </w:p>
    <w:p>
      <w:pPr>
        <w:pStyle w:val="null3"/>
        <w:ind w:firstLine="480"/>
      </w:pPr>
      <w:r>
        <w:rPr>
          <w:rFonts w:ascii="仿宋_GB2312" w:hAnsi="仿宋_GB2312" w:cs="仿宋_GB2312" w:eastAsia="仿宋_GB2312"/>
          <w:sz w:val="24"/>
          <w:color w:val="000000"/>
        </w:rPr>
        <w:t>2.1</w:t>
      </w:r>
      <w:r>
        <w:rPr>
          <w:rFonts w:ascii="仿宋_GB2312" w:hAnsi="仿宋_GB2312" w:cs="仿宋_GB2312" w:eastAsia="仿宋_GB2312"/>
          <w:sz w:val="24"/>
          <w:color w:val="000000"/>
        </w:rPr>
        <w:t>市调采价标准：采用线上和线下超市采价双结合。线上以市调当日厦门市发展和改革委员会官方网站-便民专栏-今日民生模块（https://dpc.xm.gov.cn/bmzl/jrms//）发布的价格信息作为定价依据。线上没有的品种则以线下超市采价作为补充，线下超市由采购人在经营场所如厦门市“永辉”超市、“大润发”超市、“新华都”超市、“夏商民兴”超市的任意门市按随机抽取的先后顺序进行采价（例如：随机抽取顺序为①大润发、②夏商民兴、③永辉、④新华都，则首先在大润发超市采价，如遇部分商品该超市无货，则前往夏商民兴超市采价，以此类推），以采价到的同种商品的价格作为基准价，如果以上超市还没有的，可以选择当地的农贸市场或者批发市场作为基准价。</w:t>
      </w:r>
    </w:p>
    <w:p>
      <w:pPr>
        <w:pStyle w:val="null3"/>
        <w:ind w:firstLine="480"/>
      </w:pPr>
      <w:r>
        <w:rPr>
          <w:rFonts w:ascii="仿宋_GB2312" w:hAnsi="仿宋_GB2312" w:cs="仿宋_GB2312" w:eastAsia="仿宋_GB2312"/>
          <w:sz w:val="24"/>
          <w:color w:val="000000"/>
        </w:rPr>
        <w:t>①超市促销价、活动价可除外，统一使用超市原价采价。</w:t>
      </w:r>
    </w:p>
    <w:p>
      <w:pPr>
        <w:pStyle w:val="null3"/>
        <w:ind w:firstLine="480"/>
      </w:pPr>
      <w:r>
        <w:rPr>
          <w:rFonts w:ascii="仿宋_GB2312" w:hAnsi="仿宋_GB2312" w:cs="仿宋_GB2312" w:eastAsia="仿宋_GB2312"/>
          <w:sz w:val="24"/>
          <w:color w:val="000000"/>
        </w:rPr>
        <w:t>②如采购人急需采购的物资，可临时指定日期补充市调。</w:t>
      </w:r>
    </w:p>
    <w:p>
      <w:pPr>
        <w:pStyle w:val="null3"/>
        <w:ind w:firstLine="480"/>
      </w:pPr>
      <w:r>
        <w:rPr>
          <w:rFonts w:ascii="仿宋_GB2312" w:hAnsi="仿宋_GB2312" w:cs="仿宋_GB2312" w:eastAsia="仿宋_GB2312"/>
          <w:sz w:val="24"/>
          <w:color w:val="000000"/>
        </w:rPr>
        <w:t>③以厦门市“永辉”超市、“大润发”超市、“新华都”超市、“夏商民兴”超市出售的物资出售价格为基准价，若中标人为“永辉”超市、“大润发”超市、“新华都”超市、“夏商民兴”超市的，则不以其本身物资出售价格为基准价（即：若永辉超市中标则以“大润发”超市、“新华都”超市、“夏商民兴”超市作为基准价，以此类推）。少数超市未出售的物资，可以以当地的农贸市场或者批发市场市调采价作为基准价。</w:t>
      </w:r>
    </w:p>
    <w:p>
      <w:pPr>
        <w:pStyle w:val="null3"/>
        <w:ind w:firstLine="480"/>
      </w:pPr>
      <w:r>
        <w:rPr>
          <w:rFonts w:ascii="仿宋_GB2312" w:hAnsi="仿宋_GB2312" w:cs="仿宋_GB2312" w:eastAsia="仿宋_GB2312"/>
          <w:sz w:val="24"/>
          <w:color w:val="000000"/>
        </w:rPr>
        <w:t>④签订采购合同时蔬菜类的取价以季度固定价格方式，市调采价时间第一次以合同执行前10日内进行；第二次、第三次、第四次以当月15日至25日时间段，任选一天作为市调采价日；以此类推[例如2025年3月1日执行合同，2025年3月1日至2025年5月31日第一季度固定价格以中标后执行合同前5日内市调为准；2025年6月1日至2025年8年31日第二季度固定价格以2025年8月15日至2025年8月25日任选一天市调为准，以此类推]。</w:t>
      </w:r>
    </w:p>
    <w:p>
      <w:pPr>
        <w:pStyle w:val="null3"/>
        <w:ind w:firstLine="480"/>
      </w:pPr>
      <w:r>
        <w:rPr>
          <w:rFonts w:ascii="仿宋_GB2312" w:hAnsi="仿宋_GB2312" w:cs="仿宋_GB2312" w:eastAsia="仿宋_GB2312"/>
          <w:sz w:val="24"/>
          <w:color w:val="000000"/>
        </w:rPr>
        <w:t>⑤如遇公共卫生事件等不确定因素暂停市调采价，蔬菜类水果类配送服务合同结算价格参照上一季度的市调价格结算，待公共卫生事件等不确定因素缓解后再与供应商协商确定市调日期。</w:t>
      </w:r>
    </w:p>
    <w:p>
      <w:pPr>
        <w:pStyle w:val="null3"/>
        <w:ind w:firstLine="480"/>
        <w:jc w:val="both"/>
      </w:pPr>
      <w:r>
        <w:rPr>
          <w:rFonts w:ascii="仿宋_GB2312" w:hAnsi="仿宋_GB2312" w:cs="仿宋_GB2312" w:eastAsia="仿宋_GB2312"/>
          <w:sz w:val="24"/>
          <w:color w:val="000000"/>
        </w:rPr>
        <w:t>⑥市场采价小组针对市场采价结果形成采价清单（包括但不限于品名、规格、产地、等级、市场采价价格），双方无异议签字确认。</w:t>
      </w:r>
    </w:p>
    <w:p>
      <w:pPr>
        <w:pStyle w:val="null3"/>
        <w:ind w:firstLine="48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结算依据：</w:t>
      </w:r>
    </w:p>
    <w:p>
      <w:pPr>
        <w:pStyle w:val="null3"/>
        <w:ind w:firstLine="480"/>
      </w:pPr>
      <w:r>
        <w:rPr>
          <w:rFonts w:ascii="仿宋_GB2312" w:hAnsi="仿宋_GB2312" w:cs="仿宋_GB2312" w:eastAsia="仿宋_GB2312"/>
          <w:sz w:val="24"/>
          <w:color w:val="000000"/>
        </w:rPr>
        <w:t>2.2.1</w:t>
      </w:r>
      <w:r>
        <w:rPr>
          <w:rFonts w:ascii="仿宋_GB2312" w:hAnsi="仿宋_GB2312" w:cs="仿宋_GB2312" w:eastAsia="仿宋_GB2312"/>
          <w:sz w:val="24"/>
          <w:color w:val="000000"/>
          <w:shd w:fill="FFFFFF" w:val="clear"/>
        </w:rPr>
        <w:t>按中标报价折算的折扣率进行结算。即：</w:t>
      </w:r>
      <w:r>
        <w:rPr>
          <w:rFonts w:ascii="仿宋_GB2312" w:hAnsi="仿宋_GB2312" w:cs="仿宋_GB2312" w:eastAsia="仿宋_GB2312"/>
          <w:sz w:val="24"/>
          <w:color w:val="000000"/>
        </w:rPr>
        <w:t>结算单价</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基准价（市调采价）×</w:t>
      </w:r>
      <w:r>
        <w:rPr>
          <w:rFonts w:ascii="仿宋_GB2312" w:hAnsi="仿宋_GB2312" w:cs="仿宋_GB2312" w:eastAsia="仿宋_GB2312"/>
          <w:sz w:val="24"/>
          <w:color w:val="000000"/>
        </w:rPr>
        <w:t>【1-下浮率(报价下浮率)】</w:t>
      </w:r>
      <w:r>
        <w:rPr>
          <w:rFonts w:ascii="仿宋_GB2312" w:hAnsi="仿宋_GB2312" w:cs="仿宋_GB2312" w:eastAsia="仿宋_GB2312"/>
          <w:sz w:val="24"/>
          <w:color w:val="000000"/>
          <w:shd w:fill="FFFFFF" w:val="clear"/>
        </w:rPr>
        <w:t>。中标人负责采购物资市调的所有费用支出，采购人负责监督。</w:t>
      </w:r>
    </w:p>
    <w:p>
      <w:pPr>
        <w:pStyle w:val="null3"/>
        <w:ind w:firstLine="480"/>
      </w:pPr>
      <w:r>
        <w:rPr>
          <w:rFonts w:ascii="仿宋_GB2312" w:hAnsi="仿宋_GB2312" w:cs="仿宋_GB2312" w:eastAsia="仿宋_GB2312"/>
          <w:sz w:val="24"/>
          <w:color w:val="000000"/>
        </w:rPr>
        <w:t>2.2.2</w:t>
      </w:r>
      <w:r>
        <w:rPr>
          <w:rFonts w:ascii="仿宋_GB2312" w:hAnsi="仿宋_GB2312" w:cs="仿宋_GB2312" w:eastAsia="仿宋_GB2312"/>
          <w:sz w:val="24"/>
          <w:color w:val="000000"/>
        </w:rPr>
        <w:t>实际配送服务数量以采购人供货计划通知为准，配送物资的质量、品牌、规格等以市调采价时样品品质为准。中标报价仅作为换算下浮率的依据，所有单品均以基准价为基础按中标下浮率进行结算，合同金额以实际预算金额为准，按实际采购量结算（结算重量按加工后，可利用的物品实际重量结算）。</w:t>
      </w:r>
    </w:p>
    <w:p>
      <w:pPr>
        <w:pStyle w:val="null3"/>
        <w:ind w:firstLine="480"/>
        <w:jc w:val="both"/>
      </w:pPr>
      <w:r>
        <w:rPr>
          <w:rFonts w:ascii="仿宋_GB2312" w:hAnsi="仿宋_GB2312" w:cs="仿宋_GB2312" w:eastAsia="仿宋_GB2312"/>
          <w:sz w:val="24"/>
          <w:color w:val="000000"/>
        </w:rPr>
        <w:t>2.2.3</w:t>
      </w:r>
      <w:r>
        <w:rPr>
          <w:rFonts w:ascii="仿宋_GB2312" w:hAnsi="仿宋_GB2312" w:cs="仿宋_GB2312" w:eastAsia="仿宋_GB2312"/>
          <w:sz w:val="24"/>
          <w:color w:val="000000"/>
        </w:rPr>
        <w:t>如采购人上级主管部门出台新的规定，本项目相关要求与之不符的，投标人均应无条件配合按新的规定执行。</w:t>
      </w:r>
    </w:p>
    <w:p>
      <w:pPr>
        <w:pStyle w:val="null3"/>
        <w:ind w:firstLine="480"/>
        <w:jc w:val="both"/>
      </w:pPr>
      <w:r>
        <w:rPr>
          <w:rFonts w:ascii="仿宋_GB2312" w:hAnsi="仿宋_GB2312" w:cs="仿宋_GB2312" w:eastAsia="仿宋_GB2312"/>
          <w:sz w:val="24"/>
          <w:color w:val="000000"/>
        </w:rPr>
        <w:t>2.2.4</w:t>
      </w:r>
      <w:r>
        <w:rPr>
          <w:rFonts w:ascii="仿宋_GB2312" w:hAnsi="仿宋_GB2312" w:cs="仿宋_GB2312" w:eastAsia="仿宋_GB2312"/>
          <w:sz w:val="24"/>
          <w:color w:val="000000"/>
        </w:rPr>
        <w:t>中标人在合同履约期间的供应价格必须服从合同所定价格，不能以任何理由调整价格、拒送物资，否则视为违约处理。</w:t>
      </w:r>
    </w:p>
    <w:p>
      <w:pPr>
        <w:pStyle w:val="null3"/>
        <w:ind w:firstLine="482"/>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、产品质量及要求</w:t>
      </w:r>
    </w:p>
    <w:p>
      <w:pPr>
        <w:pStyle w:val="null3"/>
        <w:ind w:firstLine="480"/>
      </w:pPr>
      <w:r>
        <w:rPr>
          <w:rFonts w:ascii="仿宋_GB2312" w:hAnsi="仿宋_GB2312" w:cs="仿宋_GB2312" w:eastAsia="仿宋_GB2312"/>
          <w:sz w:val="24"/>
          <w:color w:val="000000"/>
        </w:rPr>
        <w:t>3.1</w:t>
      </w:r>
      <w:r>
        <w:rPr>
          <w:rFonts w:ascii="仿宋_GB2312" w:hAnsi="仿宋_GB2312" w:cs="仿宋_GB2312" w:eastAsia="仿宋_GB2312"/>
          <w:sz w:val="24"/>
          <w:color w:val="000000"/>
        </w:rPr>
        <w:t>中标人提供的产品必须符合《中华人民共和国产品质量法》、《中华人民共和国食品安全法》、《中华人民共和国农产品质量安全法》、《中华人民共和国食品卫生法》</w:t>
      </w:r>
      <w:r>
        <w:rPr>
          <w:rFonts w:ascii="仿宋_GB2312" w:hAnsi="仿宋_GB2312" w:cs="仿宋_GB2312" w:eastAsia="仿宋_GB2312"/>
          <w:sz w:val="24"/>
          <w:color w:val="000000"/>
          <w:shd w:fill="FFFFFF" w:val="clear"/>
        </w:rPr>
        <w:t>等国家标准及行业标准的有关规定，且为有效期内的安全卫生产品</w:t>
      </w:r>
      <w:r>
        <w:rPr>
          <w:rFonts w:ascii="仿宋_GB2312" w:hAnsi="仿宋_GB2312" w:cs="仿宋_GB2312" w:eastAsia="仿宋_GB2312"/>
          <w:sz w:val="24"/>
          <w:color w:val="000000"/>
        </w:rPr>
        <w:t>，中标人应按照采购人关于用餐的标准要求进行供货。</w:t>
      </w:r>
    </w:p>
    <w:p>
      <w:pPr>
        <w:pStyle w:val="null3"/>
        <w:ind w:firstLine="480"/>
      </w:pPr>
      <w:r>
        <w:rPr>
          <w:rFonts w:ascii="仿宋_GB2312" w:hAnsi="仿宋_GB2312" w:cs="仿宋_GB2312" w:eastAsia="仿宋_GB2312"/>
          <w:sz w:val="24"/>
          <w:color w:val="000000"/>
        </w:rPr>
        <w:t>3.2</w:t>
      </w:r>
      <w:r>
        <w:rPr>
          <w:rFonts w:ascii="仿宋_GB2312" w:hAnsi="仿宋_GB2312" w:cs="仿宋_GB2312" w:eastAsia="仿宋_GB2312"/>
          <w:sz w:val="24"/>
          <w:color w:val="000000"/>
        </w:rPr>
        <w:t>蔬菜类：应符合食用要求，根据《福建省食品安全信息追溯管理办法》要求，对物资实行一品一码食品安全信息追溯制度。</w:t>
      </w:r>
    </w:p>
    <w:p>
      <w:pPr>
        <w:pStyle w:val="null3"/>
        <w:ind w:firstLine="480"/>
      </w:pPr>
      <w:r>
        <w:rPr>
          <w:rFonts w:ascii="仿宋_GB2312" w:hAnsi="仿宋_GB2312" w:cs="仿宋_GB2312" w:eastAsia="仿宋_GB2312"/>
          <w:sz w:val="24"/>
          <w:color w:val="000000"/>
        </w:rPr>
        <w:t>中标人销售给采购人的蔬菜应色泽新鲜、青嫩、干净、外形完整均匀、无杂质、无杂草、无黄叶、无老叶、无浸水泡水或注水、无腐烂变质、无农药残留或含有其他有毒有害物资。蔬菜须每日提供农药残留检测报告。</w:t>
      </w:r>
    </w:p>
    <w:p>
      <w:pPr>
        <w:pStyle w:val="null3"/>
        <w:ind w:firstLine="480"/>
      </w:pPr>
      <w:r>
        <w:rPr>
          <w:rFonts w:ascii="仿宋_GB2312" w:hAnsi="仿宋_GB2312" w:cs="仿宋_GB2312" w:eastAsia="仿宋_GB2312"/>
          <w:sz w:val="24"/>
          <w:color w:val="000000"/>
        </w:rPr>
        <w:t>从蔬菜色泽看，各种蔬菜都应具有本品种固有的颜色，大多数有发亮的光泽，以此显示蔬菜的成熟度及鲜嫩程度。</w:t>
      </w:r>
    </w:p>
    <w:p>
      <w:pPr>
        <w:pStyle w:val="null3"/>
        <w:ind w:firstLine="480"/>
      </w:pPr>
      <w:r>
        <w:rPr>
          <w:rFonts w:ascii="仿宋_GB2312" w:hAnsi="仿宋_GB2312" w:cs="仿宋_GB2312" w:eastAsia="仿宋_GB2312"/>
          <w:sz w:val="24"/>
          <w:color w:val="000000"/>
        </w:rPr>
        <w:t>从蔬菜气味看，多数蔬菜具有清馨、甘辛香、甜酸香等气味，可凭嗅觉识别不同品种的质量，不允许有腐烂变质的亚硝酸盐味和其他异常气味。</w:t>
      </w:r>
    </w:p>
    <w:p>
      <w:pPr>
        <w:pStyle w:val="null3"/>
        <w:ind w:firstLine="480"/>
      </w:pPr>
      <w:r>
        <w:rPr>
          <w:rFonts w:ascii="仿宋_GB2312" w:hAnsi="仿宋_GB2312" w:cs="仿宋_GB2312" w:eastAsia="仿宋_GB2312"/>
          <w:sz w:val="24"/>
          <w:color w:val="000000"/>
        </w:rPr>
        <w:t>从蔬菜滋味看，因品种不同而各异，多数蔬菜滋味甘淡、甜酸、清爽鲜美，少数具有辛酸、苦涩等特殊风味以刺激食欲，如失去本品种原有的滋味即为异常；</w:t>
      </w:r>
    </w:p>
    <w:p>
      <w:pPr>
        <w:pStyle w:val="null3"/>
        <w:ind w:firstLine="480"/>
      </w:pPr>
      <w:r>
        <w:rPr>
          <w:rFonts w:ascii="仿宋_GB2312" w:hAnsi="仿宋_GB2312" w:cs="仿宋_GB2312" w:eastAsia="仿宋_GB2312"/>
          <w:sz w:val="24"/>
          <w:color w:val="000000"/>
        </w:rPr>
        <w:t>从蔬菜形态看，应尽量避免由于客观因素而造成的各种非正常、不新鲜的蔬菜，例如萎蔫、枯塌、损伤、病变、虫害侵蚀等引起的形态异常等。</w:t>
      </w:r>
    </w:p>
    <w:p>
      <w:pPr>
        <w:pStyle w:val="null3"/>
        <w:ind w:firstLine="480"/>
      </w:pPr>
      <w:r>
        <w:rPr>
          <w:rFonts w:ascii="仿宋_GB2312" w:hAnsi="仿宋_GB2312" w:cs="仿宋_GB2312" w:eastAsia="仿宋_GB2312"/>
          <w:sz w:val="24"/>
          <w:color w:val="000000"/>
        </w:rPr>
        <w:t>叶菜类：生菜、白菜、通心菜、苋菜等绿叶菜类及大白菜、椰菜等普通叶菜。</w:t>
      </w:r>
    </w:p>
    <w:p>
      <w:pPr>
        <w:pStyle w:val="null3"/>
        <w:ind w:firstLine="480"/>
      </w:pPr>
      <w:r>
        <w:rPr>
          <w:rFonts w:ascii="仿宋_GB2312" w:hAnsi="仿宋_GB2312" w:cs="仿宋_GB2312" w:eastAsia="仿宋_GB2312"/>
          <w:sz w:val="24"/>
          <w:color w:val="000000"/>
        </w:rPr>
        <w:t>属同一品种规格，肉质鲜嫩形态好，色泽正常，茎基部削平，无枯黄叶、病叶、泥土、明显机械伤和病虫害伤，无烧心焦边、腐烂等现象，无异味，结球叶菜要结球适度。</w:t>
      </w:r>
    </w:p>
    <w:p>
      <w:pPr>
        <w:pStyle w:val="null3"/>
        <w:ind w:firstLine="480"/>
      </w:pPr>
      <w:r>
        <w:rPr>
          <w:rFonts w:ascii="仿宋_GB2312" w:hAnsi="仿宋_GB2312" w:cs="仿宋_GB2312" w:eastAsia="仿宋_GB2312"/>
          <w:sz w:val="24"/>
          <w:color w:val="000000"/>
        </w:rPr>
        <w:t>茄果类：西红柿、茄瓜、圆椒、尖椒等。</w:t>
      </w:r>
    </w:p>
    <w:p>
      <w:pPr>
        <w:pStyle w:val="null3"/>
        <w:ind w:firstLine="480"/>
      </w:pPr>
      <w:r>
        <w:rPr>
          <w:rFonts w:ascii="仿宋_GB2312" w:hAnsi="仿宋_GB2312" w:cs="仿宋_GB2312" w:eastAsia="仿宋_GB2312"/>
          <w:sz w:val="24"/>
          <w:color w:val="000000"/>
        </w:rPr>
        <w:t>属同一品种规格，果实整洁，成熟度适中，无裂果及空洞现象，茄果不能有裂蒂及果皮变硬现象，无腐烂、异味，无明显机械伤。</w:t>
      </w:r>
    </w:p>
    <w:p>
      <w:pPr>
        <w:pStyle w:val="null3"/>
        <w:ind w:firstLine="480"/>
      </w:pPr>
      <w:r>
        <w:rPr>
          <w:rFonts w:ascii="仿宋_GB2312" w:hAnsi="仿宋_GB2312" w:cs="仿宋_GB2312" w:eastAsia="仿宋_GB2312"/>
          <w:sz w:val="24"/>
          <w:color w:val="000000"/>
        </w:rPr>
        <w:t>瓜果类：黄瓜、冬瓜、丝瓜、苦瓜、南瓜、节瓜等。</w:t>
      </w:r>
    </w:p>
    <w:p>
      <w:pPr>
        <w:pStyle w:val="null3"/>
        <w:ind w:firstLine="480"/>
      </w:pPr>
      <w:r>
        <w:rPr>
          <w:rFonts w:ascii="仿宋_GB2312" w:hAnsi="仿宋_GB2312" w:cs="仿宋_GB2312" w:eastAsia="仿宋_GB2312"/>
          <w:sz w:val="24"/>
          <w:color w:val="000000"/>
        </w:rPr>
        <w:t>属同一品种规格，色泽一致，无疤点，无断裂，无腐烂、异味、明显机械伤，不带泥土。</w:t>
      </w:r>
    </w:p>
    <w:p>
      <w:pPr>
        <w:pStyle w:val="null3"/>
        <w:ind w:firstLine="480"/>
      </w:pPr>
      <w:r>
        <w:rPr>
          <w:rFonts w:ascii="仿宋_GB2312" w:hAnsi="仿宋_GB2312" w:cs="仿宋_GB2312" w:eastAsia="仿宋_GB2312"/>
          <w:sz w:val="24"/>
          <w:color w:val="000000"/>
        </w:rPr>
        <w:t>根菜类：萝卜、胡萝卜等。</w:t>
      </w:r>
    </w:p>
    <w:p>
      <w:pPr>
        <w:pStyle w:val="null3"/>
        <w:ind w:firstLine="480"/>
      </w:pPr>
      <w:r>
        <w:rPr>
          <w:rFonts w:ascii="仿宋_GB2312" w:hAnsi="仿宋_GB2312" w:cs="仿宋_GB2312" w:eastAsia="仿宋_GB2312"/>
          <w:sz w:val="24"/>
          <w:color w:val="000000"/>
        </w:rPr>
        <w:t>属同一品种规格，皮细光滑，肉质脆嫩致密新鲜，无腐烂、裂痕、糠心、异味，不带泥沙，不带茎叶和须根。</w:t>
      </w:r>
    </w:p>
    <w:p>
      <w:pPr>
        <w:pStyle w:val="null3"/>
        <w:ind w:firstLine="480"/>
      </w:pPr>
      <w:r>
        <w:rPr>
          <w:rFonts w:ascii="仿宋_GB2312" w:hAnsi="仿宋_GB2312" w:cs="仿宋_GB2312" w:eastAsia="仿宋_GB2312"/>
          <w:sz w:val="24"/>
          <w:color w:val="000000"/>
        </w:rPr>
        <w:t>薯芋类：马铃薯、芋、姜等。</w:t>
      </w:r>
    </w:p>
    <w:p>
      <w:pPr>
        <w:pStyle w:val="null3"/>
        <w:ind w:firstLine="480"/>
      </w:pPr>
      <w:r>
        <w:rPr>
          <w:rFonts w:ascii="仿宋_GB2312" w:hAnsi="仿宋_GB2312" w:cs="仿宋_GB2312" w:eastAsia="仿宋_GB2312"/>
          <w:sz w:val="24"/>
          <w:color w:val="000000"/>
        </w:rPr>
        <w:t>属同一品种规格，色泽一致，不带泥沙，不带须根、茎叶，不干瘪，无腐烂、异味、明显机械伤、病虫害斑，马铃薯无发芽，皮不变绿。</w:t>
      </w:r>
    </w:p>
    <w:p>
      <w:pPr>
        <w:pStyle w:val="null3"/>
        <w:ind w:firstLine="480"/>
      </w:pPr>
      <w:r>
        <w:rPr>
          <w:rFonts w:ascii="仿宋_GB2312" w:hAnsi="仿宋_GB2312" w:cs="仿宋_GB2312" w:eastAsia="仿宋_GB2312"/>
          <w:sz w:val="24"/>
          <w:color w:val="000000"/>
        </w:rPr>
        <w:t>葱蒜类：葱、蒜、韭菜、洋葱等。</w:t>
      </w:r>
    </w:p>
    <w:p>
      <w:pPr>
        <w:pStyle w:val="null3"/>
        <w:ind w:firstLine="480"/>
      </w:pPr>
      <w:r>
        <w:rPr>
          <w:rFonts w:ascii="仿宋_GB2312" w:hAnsi="仿宋_GB2312" w:cs="仿宋_GB2312" w:eastAsia="仿宋_GB2312"/>
          <w:sz w:val="24"/>
          <w:color w:val="000000"/>
        </w:rPr>
        <w:t>属同一品种规格，允许葱、青蒜类保留干净须根，葱、蒜、韭菜不带老叶，蒜头、洋葱去根去枯叶，可食部分新鲜幼嫩，无腐烂、异味。</w:t>
      </w:r>
    </w:p>
    <w:p>
      <w:pPr>
        <w:pStyle w:val="null3"/>
        <w:ind w:firstLine="480"/>
      </w:pPr>
      <w:r>
        <w:rPr>
          <w:rFonts w:ascii="仿宋_GB2312" w:hAnsi="仿宋_GB2312" w:cs="仿宋_GB2312" w:eastAsia="仿宋_GB2312"/>
          <w:sz w:val="24"/>
          <w:color w:val="000000"/>
        </w:rPr>
        <w:t>水生菜类：藕等。</w:t>
      </w:r>
    </w:p>
    <w:p>
      <w:pPr>
        <w:pStyle w:val="null3"/>
        <w:ind w:firstLine="480"/>
      </w:pPr>
      <w:r>
        <w:rPr>
          <w:rFonts w:ascii="仿宋_GB2312" w:hAnsi="仿宋_GB2312" w:cs="仿宋_GB2312" w:eastAsia="仿宋_GB2312"/>
          <w:sz w:val="24"/>
          <w:color w:val="000000"/>
        </w:rPr>
        <w:t>属同一品种规格，肉质嫩，成熟度适中，无腐烂、异味，无明显机械伤，不带泥土和杂质，不干瘪，茭白不黑心。</w:t>
      </w:r>
    </w:p>
    <w:p>
      <w:pPr>
        <w:pStyle w:val="null3"/>
        <w:ind w:firstLine="480"/>
      </w:pPr>
      <w:r>
        <w:rPr>
          <w:rFonts w:ascii="仿宋_GB2312" w:hAnsi="仿宋_GB2312" w:cs="仿宋_GB2312" w:eastAsia="仿宋_GB2312"/>
          <w:sz w:val="24"/>
          <w:color w:val="000000"/>
        </w:rPr>
        <w:t>芽苗类：绿豆芽、黄豆芽等。</w:t>
      </w:r>
    </w:p>
    <w:p>
      <w:pPr>
        <w:pStyle w:val="null3"/>
        <w:ind w:firstLine="480"/>
      </w:pPr>
      <w:r>
        <w:rPr>
          <w:rFonts w:ascii="仿宋_GB2312" w:hAnsi="仿宋_GB2312" w:cs="仿宋_GB2312" w:eastAsia="仿宋_GB2312"/>
          <w:sz w:val="24"/>
          <w:color w:val="000000"/>
        </w:rPr>
        <w:t>芽苗幼嫩，不带豆壳杂质，新鲜，不浸水，无腐烂、异味。</w:t>
      </w:r>
    </w:p>
    <w:p>
      <w:pPr>
        <w:pStyle w:val="null3"/>
        <w:ind w:firstLine="480"/>
      </w:pPr>
      <w:r>
        <w:rPr>
          <w:rFonts w:ascii="仿宋_GB2312" w:hAnsi="仿宋_GB2312" w:cs="仿宋_GB2312" w:eastAsia="仿宋_GB2312"/>
          <w:sz w:val="24"/>
          <w:color w:val="000000"/>
        </w:rPr>
        <w:t>香辛类：西芹、芹菜、香菜等。</w:t>
      </w:r>
    </w:p>
    <w:p>
      <w:pPr>
        <w:pStyle w:val="null3"/>
        <w:ind w:firstLine="480"/>
        <w:jc w:val="both"/>
      </w:pPr>
      <w:r>
        <w:rPr>
          <w:rFonts w:ascii="仿宋_GB2312" w:hAnsi="仿宋_GB2312" w:cs="仿宋_GB2312" w:eastAsia="仿宋_GB2312"/>
          <w:sz w:val="24"/>
          <w:color w:val="000000"/>
        </w:rPr>
        <w:t>属同一品种规格，肉质鲜嫩形态好，色泽正常，无枯黄叶、病叶、泥土、明显机械伤和病虫害伤，无烧心焦边、腐烂等现象，具有该品种应有的味道。</w:t>
      </w:r>
    </w:p>
    <w:p>
      <w:pPr>
        <w:pStyle w:val="null3"/>
        <w:ind w:firstLine="482"/>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、供货要求</w:t>
      </w:r>
    </w:p>
    <w:p>
      <w:pPr>
        <w:pStyle w:val="null3"/>
        <w:ind w:firstLine="480"/>
      </w:pPr>
      <w:r>
        <w:rPr>
          <w:rFonts w:ascii="仿宋_GB2312" w:hAnsi="仿宋_GB2312" w:cs="仿宋_GB2312" w:eastAsia="仿宋_GB2312"/>
          <w:sz w:val="24"/>
          <w:color w:val="000000"/>
        </w:rPr>
        <w:t>4.1</w:t>
      </w:r>
      <w:r>
        <w:rPr>
          <w:rFonts w:ascii="仿宋_GB2312" w:hAnsi="仿宋_GB2312" w:cs="仿宋_GB2312" w:eastAsia="仿宋_GB2312"/>
          <w:sz w:val="24"/>
          <w:color w:val="000000"/>
        </w:rPr>
        <w:t>中标人应对采购的物资按国家有关标准进行配送，不得短斤少两、以次充好；按采购人要求将采购物资进行分包、单独包装、加工，否则采购人有权拒收，由此产生的费用由中标人承担。对所提供的采购物资提供“三包”，对质量不合格产品实行包换、包退。</w:t>
      </w:r>
    </w:p>
    <w:p>
      <w:pPr>
        <w:pStyle w:val="null3"/>
        <w:ind w:firstLine="480"/>
      </w:pPr>
      <w:r>
        <w:rPr>
          <w:rFonts w:ascii="仿宋_GB2312" w:hAnsi="仿宋_GB2312" w:cs="仿宋_GB2312" w:eastAsia="仿宋_GB2312"/>
          <w:sz w:val="24"/>
          <w:color w:val="000000"/>
        </w:rPr>
        <w:t>4.2</w:t>
      </w:r>
      <w:r>
        <w:rPr>
          <w:rFonts w:ascii="仿宋_GB2312" w:hAnsi="仿宋_GB2312" w:cs="仿宋_GB2312" w:eastAsia="仿宋_GB2312"/>
          <w:sz w:val="24"/>
          <w:color w:val="000000"/>
        </w:rPr>
        <w:t>合同期内，中标人应根据采购人需要全年365天不间断供货，采购人提前一周将下周需求订单通过电话、邮件、传真、微信等方式交予中标人。紧急情况需以采购人通知时间为准，中标人按要求及时送货，供货时间一般为每天上午八点前将当天物资配送到采购人指定地点。若有需要，中标人应根据采购人的需求增加配送次数，在接到采购人通知后2小时内按时足额配送到位。</w:t>
      </w:r>
    </w:p>
    <w:p>
      <w:pPr>
        <w:pStyle w:val="null3"/>
        <w:ind w:firstLine="480"/>
      </w:pPr>
      <w:r>
        <w:rPr>
          <w:rFonts w:ascii="仿宋_GB2312" w:hAnsi="仿宋_GB2312" w:cs="仿宋_GB2312" w:eastAsia="仿宋_GB2312"/>
          <w:sz w:val="24"/>
          <w:color w:val="000000"/>
        </w:rPr>
        <w:t>4.3</w:t>
      </w:r>
      <w:r>
        <w:rPr>
          <w:rFonts w:ascii="仿宋_GB2312" w:hAnsi="仿宋_GB2312" w:cs="仿宋_GB2312" w:eastAsia="仿宋_GB2312"/>
          <w:sz w:val="24"/>
          <w:color w:val="000000"/>
        </w:rPr>
        <w:t>中标人对于蔬菜的供应要尽可能多样化，根据季节特点，合理搭配叶类蔬菜、瓜类蔬菜和根茎类蔬菜供应比例。每周供应的蔬菜品种不少于4种（不含作为配料、调味的葱、蒜、芹菜等蔬菜）。中标人必须按采购人每天蔬菜供应量要求供应蔬菜，不能以任何理由拒送，否则视为违约处理。</w:t>
      </w:r>
    </w:p>
    <w:p>
      <w:pPr>
        <w:pStyle w:val="null3"/>
        <w:ind w:firstLine="480"/>
      </w:pPr>
      <w:r>
        <w:rPr>
          <w:rFonts w:ascii="仿宋_GB2312" w:hAnsi="仿宋_GB2312" w:cs="仿宋_GB2312" w:eastAsia="仿宋_GB2312"/>
          <w:sz w:val="24"/>
          <w:color w:val="000000"/>
        </w:rPr>
        <w:t>4.4</w:t>
      </w:r>
      <w:r>
        <w:rPr>
          <w:rFonts w:ascii="仿宋_GB2312" w:hAnsi="仿宋_GB2312" w:cs="仿宋_GB2312" w:eastAsia="仿宋_GB2312"/>
          <w:sz w:val="24"/>
          <w:color w:val="000000"/>
        </w:rPr>
        <w:t>对于新鲜调味品（如辣椒、大蒜、芹菜、葱等），应足量供应，在节假日期间必须无条件按照采购人要求的采购量及时供应，如有少送或拒送，视为违约处理。</w:t>
      </w:r>
    </w:p>
    <w:p>
      <w:pPr>
        <w:pStyle w:val="null3"/>
        <w:ind w:firstLine="480"/>
      </w:pPr>
      <w:r>
        <w:rPr>
          <w:rFonts w:ascii="仿宋_GB2312" w:hAnsi="仿宋_GB2312" w:cs="仿宋_GB2312" w:eastAsia="仿宋_GB2312"/>
          <w:sz w:val="24"/>
          <w:color w:val="000000"/>
        </w:rPr>
        <w:t>4.5</w:t>
      </w:r>
      <w:r>
        <w:rPr>
          <w:rFonts w:ascii="仿宋_GB2312" w:hAnsi="仿宋_GB2312" w:cs="仿宋_GB2312" w:eastAsia="仿宋_GB2312"/>
          <w:sz w:val="24"/>
          <w:color w:val="000000"/>
        </w:rPr>
        <w:t>中标人必须提供每次供应物资必要品种的蔬菜农药残留化验单等证明材料。食品应清洁，并符合企业相关验收标准，食品应无损伤、腐烂现象、无寄生虫或已受虫害现象。</w:t>
      </w:r>
    </w:p>
    <w:p>
      <w:pPr>
        <w:pStyle w:val="null3"/>
        <w:ind w:firstLine="480"/>
      </w:pPr>
      <w:r>
        <w:rPr>
          <w:rFonts w:ascii="仿宋_GB2312" w:hAnsi="仿宋_GB2312" w:cs="仿宋_GB2312" w:eastAsia="仿宋_GB2312"/>
          <w:sz w:val="24"/>
          <w:color w:val="000000"/>
        </w:rPr>
        <w:t>4.6</w:t>
      </w:r>
      <w:r>
        <w:rPr>
          <w:rFonts w:ascii="仿宋_GB2312" w:hAnsi="仿宋_GB2312" w:cs="仿宋_GB2312" w:eastAsia="仿宋_GB2312"/>
          <w:sz w:val="24"/>
          <w:color w:val="000000"/>
        </w:rPr>
        <w:t>采购人收货时严格按照招标文件质量要求标准进行验收，采购人若发现中标人所提供的物资数量和质量不符合要求，采购人有权拒收、退回，中标人应负全部责任。中标人应接受采购人意见进行整改、及时退换货，遵守采购人管理制度及相关规定，满足采购人特殊采购模式的需求。</w:t>
      </w:r>
    </w:p>
    <w:p>
      <w:pPr>
        <w:pStyle w:val="null3"/>
        <w:ind w:firstLine="480"/>
      </w:pPr>
      <w:r>
        <w:rPr>
          <w:rFonts w:ascii="仿宋_GB2312" w:hAnsi="仿宋_GB2312" w:cs="仿宋_GB2312" w:eastAsia="仿宋_GB2312"/>
          <w:sz w:val="24"/>
          <w:color w:val="000000"/>
        </w:rPr>
        <w:t>4.7</w:t>
      </w:r>
      <w:r>
        <w:rPr>
          <w:rFonts w:ascii="仿宋_GB2312" w:hAnsi="仿宋_GB2312" w:cs="仿宋_GB2312" w:eastAsia="仿宋_GB2312"/>
          <w:sz w:val="24"/>
          <w:color w:val="000000"/>
        </w:rPr>
        <w:t>中标人应接受采购人意见进行整改、及时退换货、遵守采购人管理制度及相关规定，满足采购人特殊采购模式的需求。中标人必须按时按量按质将货物送到采购人指定地点，并由采购人当面核实重量，并按照招标文件中列明的标准进行验收。验收完毕后，双方必须在货物收货清单（格式自定，但必须包括货物单价、数量、重量、合价等内容）上签名确认，货物收货清单作为采购人支付货款的依据之一。</w:t>
      </w:r>
    </w:p>
    <w:p>
      <w:pPr>
        <w:pStyle w:val="null3"/>
        <w:ind w:firstLine="480"/>
      </w:pPr>
      <w:r>
        <w:rPr>
          <w:rFonts w:ascii="仿宋_GB2312" w:hAnsi="仿宋_GB2312" w:cs="仿宋_GB2312" w:eastAsia="仿宋_GB2312"/>
          <w:sz w:val="24"/>
          <w:color w:val="000000"/>
        </w:rPr>
        <w:t>4.8</w:t>
      </w:r>
      <w:r>
        <w:rPr>
          <w:rFonts w:ascii="仿宋_GB2312" w:hAnsi="仿宋_GB2312" w:cs="仿宋_GB2312" w:eastAsia="仿宋_GB2312"/>
          <w:sz w:val="24"/>
          <w:color w:val="000000"/>
        </w:rPr>
        <w:t>如遇台风、暴雨等不可预见原因造成个别品种的临时调整，中标人应事先通知采购人，采购人同意确认后方可调整。</w:t>
      </w:r>
    </w:p>
    <w:p>
      <w:pPr>
        <w:pStyle w:val="null3"/>
        <w:ind w:firstLine="482"/>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、车辆管理及配送要求</w:t>
      </w:r>
    </w:p>
    <w:p>
      <w:pPr>
        <w:pStyle w:val="null3"/>
        <w:ind w:firstLine="480"/>
      </w:pPr>
      <w:r>
        <w:rPr>
          <w:rFonts w:ascii="仿宋_GB2312" w:hAnsi="仿宋_GB2312" w:cs="仿宋_GB2312" w:eastAsia="仿宋_GB2312"/>
          <w:sz w:val="24"/>
          <w:color w:val="000000"/>
        </w:rPr>
        <w:t>5.1</w:t>
      </w:r>
      <w:r>
        <w:rPr>
          <w:rFonts w:ascii="仿宋_GB2312" w:hAnsi="仿宋_GB2312" w:cs="仿宋_GB2312" w:eastAsia="仿宋_GB2312"/>
          <w:sz w:val="24"/>
          <w:color w:val="000000"/>
        </w:rPr>
        <w:t>中标人须明确至少1名固定司机和1辆固定车辆(车牌号及送货人员名单应报采购人备案），中标人在接到采购人送货通知后，中标人的对接人员需24小时响应，及时处理采购人要求，按照采购人的要求送达所有产品。</w:t>
      </w:r>
    </w:p>
    <w:p>
      <w:pPr>
        <w:pStyle w:val="null3"/>
        <w:ind w:firstLine="480"/>
      </w:pPr>
      <w:r>
        <w:rPr>
          <w:rFonts w:ascii="仿宋_GB2312" w:hAnsi="仿宋_GB2312" w:cs="仿宋_GB2312" w:eastAsia="仿宋_GB2312"/>
          <w:sz w:val="24"/>
          <w:color w:val="000000"/>
        </w:rPr>
        <w:t>5.2</w:t>
      </w:r>
      <w:r>
        <w:rPr>
          <w:rFonts w:ascii="仿宋_GB2312" w:hAnsi="仿宋_GB2312" w:cs="仿宋_GB2312" w:eastAsia="仿宋_GB2312"/>
          <w:sz w:val="24"/>
          <w:color w:val="000000"/>
        </w:rPr>
        <w:t>中标人提供的对接人员若不符合采购人要求，采购人有权要求中标人在2日内进行更换，如中标人需更换对接人员须提前十个工作日报备采购人同意后方可变更,合同期内中标人最多更换2次对接人员。</w:t>
      </w:r>
    </w:p>
    <w:p>
      <w:pPr>
        <w:pStyle w:val="null3"/>
        <w:ind w:firstLine="480"/>
      </w:pPr>
      <w:r>
        <w:rPr>
          <w:rFonts w:ascii="仿宋_GB2312" w:hAnsi="仿宋_GB2312" w:cs="仿宋_GB2312" w:eastAsia="仿宋_GB2312"/>
          <w:sz w:val="24"/>
          <w:color w:val="000000"/>
        </w:rPr>
        <w:t>5.3</w:t>
      </w:r>
      <w:r>
        <w:rPr>
          <w:rFonts w:ascii="仿宋_GB2312" w:hAnsi="仿宋_GB2312" w:cs="仿宋_GB2312" w:eastAsia="仿宋_GB2312"/>
          <w:sz w:val="24"/>
          <w:color w:val="000000"/>
        </w:rPr>
        <w:t>中标人在接到采购人批量送货通知时，在每日上午8：00前（或按照采购人指定的时间和要求）将所有产品送达采购人食堂。若出现特殊情况，在接到采购人通知后，6小时内完成供货服务，将所有产品送达采购人食堂。</w:t>
      </w:r>
    </w:p>
    <w:p>
      <w:pPr>
        <w:pStyle w:val="null3"/>
        <w:ind w:firstLine="480"/>
      </w:pPr>
      <w:r>
        <w:rPr>
          <w:rFonts w:ascii="仿宋_GB2312" w:hAnsi="仿宋_GB2312" w:cs="仿宋_GB2312" w:eastAsia="仿宋_GB2312"/>
          <w:sz w:val="24"/>
          <w:color w:val="000000"/>
        </w:rPr>
        <w:t>5.4</w:t>
      </w:r>
      <w:r>
        <w:rPr>
          <w:rFonts w:ascii="仿宋_GB2312" w:hAnsi="仿宋_GB2312" w:cs="仿宋_GB2312" w:eastAsia="仿宋_GB2312"/>
          <w:sz w:val="24"/>
          <w:color w:val="000000"/>
        </w:rPr>
        <w:t>投标人必须拥有正规合法的配送运输设备及车辆，并保证其配送运输车辆具备冷藏功能，确保所配送的物资保持新鲜优质，并具有与配送商品相匹配的冷藏、保温设备和容器、包装物，并保证所有用品用具符合行业配送要求及卫生标准且要定期消毒。冷藏、冷冻等食品应当有必要的保温设备并在整个运输过程中保持安全的冷冻、冷藏温度。特别是对于长途运输的食品，保证食品在运输全过程中处于合适的温度范围。</w:t>
      </w:r>
    </w:p>
    <w:p>
      <w:pPr>
        <w:pStyle w:val="null3"/>
        <w:ind w:firstLine="480"/>
      </w:pPr>
      <w:r>
        <w:rPr>
          <w:rFonts w:ascii="仿宋_GB2312" w:hAnsi="仿宋_GB2312" w:cs="仿宋_GB2312" w:eastAsia="仿宋_GB2312"/>
          <w:sz w:val="24"/>
          <w:color w:val="000000"/>
        </w:rPr>
        <w:t>5.5</w:t>
      </w:r>
      <w:r>
        <w:rPr>
          <w:rFonts w:ascii="仿宋_GB2312" w:hAnsi="仿宋_GB2312" w:cs="仿宋_GB2312" w:eastAsia="仿宋_GB2312"/>
          <w:sz w:val="24"/>
          <w:color w:val="000000"/>
        </w:rPr>
        <w:t>运输车厢的内仓，包括地面、墙面和顶，应使用抗腐蚀、防潮、易清洁消毒的材料。</w:t>
      </w:r>
    </w:p>
    <w:p>
      <w:pPr>
        <w:pStyle w:val="null3"/>
        <w:ind w:firstLine="480"/>
      </w:pPr>
      <w:r>
        <w:rPr>
          <w:rFonts w:ascii="仿宋_GB2312" w:hAnsi="仿宋_GB2312" w:cs="仿宋_GB2312" w:eastAsia="仿宋_GB2312"/>
          <w:sz w:val="24"/>
          <w:color w:val="000000"/>
        </w:rPr>
        <w:t>5.6</w:t>
      </w:r>
      <w:r>
        <w:rPr>
          <w:rFonts w:ascii="仿宋_GB2312" w:hAnsi="仿宋_GB2312" w:cs="仿宋_GB2312" w:eastAsia="仿宋_GB2312"/>
          <w:sz w:val="24"/>
          <w:color w:val="000000"/>
        </w:rPr>
        <w:t>车厢内应无不良气味、异味。</w:t>
      </w:r>
    </w:p>
    <w:p>
      <w:pPr>
        <w:pStyle w:val="null3"/>
        <w:ind w:firstLine="480"/>
      </w:pPr>
      <w:r>
        <w:rPr>
          <w:rFonts w:ascii="仿宋_GB2312" w:hAnsi="仿宋_GB2312" w:cs="仿宋_GB2312" w:eastAsia="仿宋_GB2312"/>
          <w:sz w:val="24"/>
          <w:color w:val="000000"/>
        </w:rPr>
        <w:t>5.7</w:t>
      </w:r>
      <w:r>
        <w:rPr>
          <w:rFonts w:ascii="仿宋_GB2312" w:hAnsi="仿宋_GB2312" w:cs="仿宋_GB2312" w:eastAsia="仿宋_GB2312"/>
          <w:sz w:val="24"/>
          <w:color w:val="000000"/>
        </w:rPr>
        <w:t>整个运输过程应科学合理，运输车辆应定期清洁，保持性能稳定。</w:t>
      </w:r>
    </w:p>
    <w:p>
      <w:pPr>
        <w:pStyle w:val="null3"/>
        <w:ind w:firstLine="480"/>
      </w:pPr>
      <w:r>
        <w:rPr>
          <w:rFonts w:ascii="仿宋_GB2312" w:hAnsi="仿宋_GB2312" w:cs="仿宋_GB2312" w:eastAsia="仿宋_GB2312"/>
          <w:sz w:val="24"/>
          <w:color w:val="000000"/>
        </w:rPr>
        <w:t>5.8</w:t>
      </w:r>
      <w:r>
        <w:rPr>
          <w:rFonts w:ascii="仿宋_GB2312" w:hAnsi="仿宋_GB2312" w:cs="仿宋_GB2312" w:eastAsia="仿宋_GB2312"/>
          <w:sz w:val="24"/>
          <w:color w:val="000000"/>
        </w:rPr>
        <w:t>对送货车辆要定期消毒，保持清洁，食品堆放科学合理，避免食品交叉污染，如对温度有要求的食品应确定食品的温度。</w:t>
      </w:r>
    </w:p>
    <w:p>
      <w:pPr>
        <w:pStyle w:val="null3"/>
        <w:ind w:firstLine="480"/>
      </w:pPr>
      <w:r>
        <w:rPr>
          <w:rFonts w:ascii="仿宋_GB2312" w:hAnsi="仿宋_GB2312" w:cs="仿宋_GB2312" w:eastAsia="仿宋_GB2312"/>
          <w:sz w:val="24"/>
          <w:color w:val="000000"/>
        </w:rPr>
        <w:t>5.9</w:t>
      </w:r>
      <w:r>
        <w:rPr>
          <w:rFonts w:ascii="仿宋_GB2312" w:hAnsi="仿宋_GB2312" w:cs="仿宋_GB2312" w:eastAsia="仿宋_GB2312"/>
          <w:sz w:val="24"/>
          <w:color w:val="000000"/>
        </w:rPr>
        <w:t>严格落实自然灾害、应急突发事件防控要求，对送货车辆的定期消毒制度，避免在运输过程中导致交叉感染，使所需物资安全性出现问题送货车辆应保持清洁，食品堆放科学合理，避免造成食品的交叉污染，如对温度有要求的食品应确定食品的温度，记录送货车辆温度，并记录存档。</w:t>
      </w:r>
    </w:p>
    <w:p>
      <w:pPr>
        <w:pStyle w:val="null3"/>
        <w:ind w:firstLine="480"/>
      </w:pPr>
      <w:r>
        <w:rPr>
          <w:rFonts w:ascii="仿宋_GB2312" w:hAnsi="仿宋_GB2312" w:cs="仿宋_GB2312" w:eastAsia="仿宋_GB2312"/>
          <w:sz w:val="24"/>
          <w:color w:val="000000"/>
        </w:rPr>
        <w:t>5.10</w:t>
      </w:r>
      <w:r>
        <w:rPr>
          <w:rFonts w:ascii="仿宋_GB2312" w:hAnsi="仿宋_GB2312" w:cs="仿宋_GB2312" w:eastAsia="仿宋_GB2312"/>
          <w:sz w:val="24"/>
          <w:color w:val="000000"/>
        </w:rPr>
        <w:t>加工、配送场所要求：中标人应有固定的、具备与配送商品相匹配的冷藏、保温设备食品仓储的场所。</w:t>
      </w:r>
    </w:p>
    <w:p>
      <w:pPr>
        <w:pStyle w:val="null3"/>
        <w:ind w:firstLine="480"/>
        <w:jc w:val="both"/>
      </w:pPr>
      <w:r>
        <w:rPr>
          <w:rFonts w:ascii="仿宋_GB2312" w:hAnsi="仿宋_GB2312" w:cs="仿宋_GB2312" w:eastAsia="仿宋_GB2312"/>
          <w:sz w:val="24"/>
          <w:color w:val="000000"/>
        </w:rPr>
        <w:t xml:space="preserve">5.11 </w:t>
      </w:r>
      <w:r>
        <w:rPr>
          <w:rFonts w:ascii="仿宋_GB2312" w:hAnsi="仿宋_GB2312" w:cs="仿宋_GB2312" w:eastAsia="仿宋_GB2312"/>
          <w:sz w:val="24"/>
          <w:color w:val="000000"/>
        </w:rPr>
        <w:t>采购、加工、拣配、配送人员要求：中标人应有专业、稳定的采购、加工、拣配、配送团队，团队人员必须遵纪守法，无行贿犯罪记录，持健康证上岗，按规定着装，配带工作证，并做好保密工作。中标人所配备的团队人员需要更换的需要提前一周告知采购人并征得采购人同意后才能更换。</w:t>
      </w:r>
    </w:p>
    <w:p>
      <w:pPr>
        <w:pStyle w:val="null3"/>
        <w:ind w:firstLine="480"/>
        <w:jc w:val="both"/>
      </w:pPr>
      <w:r>
        <w:rPr>
          <w:rFonts w:ascii="仿宋_GB2312" w:hAnsi="仿宋_GB2312" w:cs="仿宋_GB2312" w:eastAsia="仿宋_GB2312"/>
          <w:sz w:val="24"/>
          <w:color w:val="000000"/>
        </w:rPr>
        <w:t>5.12</w:t>
      </w:r>
      <w:r>
        <w:rPr>
          <w:rFonts w:ascii="仿宋_GB2312" w:hAnsi="仿宋_GB2312" w:cs="仿宋_GB2312" w:eastAsia="仿宋_GB2312"/>
          <w:sz w:val="24"/>
          <w:color w:val="000000"/>
          <w:shd w:fill="FFFFFF" w:val="clear"/>
        </w:rPr>
        <w:t>特殊时期（如疫情、台风、自然灾害等应急情况），为保障服刑人员正常伙食供应，中标人应根据采购方要求的紧急物资随时足量供货，非不可抗力因素的必须履行供货要求。</w:t>
      </w:r>
    </w:p>
    <w:p>
      <w:pPr>
        <w:pStyle w:val="null3"/>
        <w:ind w:firstLine="480"/>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根据采购人无刀化管理要求，要按照采购人要求进行无偿切割，投标人需在切割工作场所加装24小时监控，监控须有60天网络查看及录像存储功能，且提供监控账号接受采购人随时检查。投标人须单独提供专项承诺函（承诺函格式自拟），未做单独专项承诺函，视为投标人投标无效。采购人在合同期内有权对中标人切割现场进行实地检查，内容包括卫生环境、消毒消杀记录、人员是否与投标文件相符。因切割要求，结算重量按加工后，可利用的物品实际重量结算且可利用部分须达到97%，切割后的不可利用部分须一起运到监管场所进行同步验收（注：不可利用部分不算在结算重量内），投标人在投标中应考虑好成本，审慎报价。</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合同签订后，自采购人通知之日起至2026年6月30日，若合同期限届满或在合同期内采购总金额已经达到采购包预算金额，则中标人与福建省翔安监狱签订的本项目合同自动终止。</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厦门市翔安区内厝镇官路北路1号采购人指定地点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食材均符合采购需求，经验收合格后交付。</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1、期次1，说明：按国家规定、标文件及合同规定执行，并经采购人验收合格。</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1、按月按实结算。中标人完成当月供货订单且按招标文件要求验收合格后，采购人在收到中标人提交的验收单、等额增值税普通发票等完整报销材料核对无误后，达到付款条件起10日内，支付合同总金额的100.00%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由于系统限制编辑，序号6的合同支付方式以此处描述为准：1、按月按实结算。中标人完成当月供货订单且按招标文件要求验收合格后，采购人在收到中标人提交的验收单、等额增值税普通发票等完整报销材料核对无误后，达到付款条件起10个工作日内，支付结算金额。</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说明：中标人需在合同签订前以银行转账、支票、银行无条件支付保函等非现金形式向采购人支付合同总金额的5%作为履约保证金，如果是以保函形式缴纳履约保证金的，中标人必须开具见索即付(无条件支付)银行保函，且保函有效期(即到期时间)必须涵盖服务期满后6个月，如中标人未按合同有关规定履行其义务，采购人有权扣除履约保证金，用以补偿。履约保证金在合同约定全部事项履行完毕，经采购人确认双方无未了事项后，采购人在收到中标人书面申请后30日内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验收要求</w:t>
      </w:r>
    </w:p>
    <w:p>
      <w:pPr>
        <w:pStyle w:val="null3"/>
        <w:ind w:firstLine="480"/>
      </w:pPr>
      <w:r>
        <w:rPr>
          <w:rFonts w:ascii="仿宋_GB2312" w:hAnsi="仿宋_GB2312" w:cs="仿宋_GB2312" w:eastAsia="仿宋_GB2312"/>
          <w:sz w:val="24"/>
          <w:color w:val="000000"/>
        </w:rPr>
        <w:t>9.1</w:t>
      </w:r>
      <w:r>
        <w:rPr>
          <w:rFonts w:ascii="仿宋_GB2312" w:hAnsi="仿宋_GB2312" w:cs="仿宋_GB2312" w:eastAsia="仿宋_GB2312"/>
          <w:sz w:val="24"/>
          <w:color w:val="000000"/>
        </w:rPr>
        <w:t>物资验收实行索证制度，确保可追溯。必要时中标人必须出具符合国家标准的检验证明。必要时中标人必须提供物资溯源凭证，费用由中标人承担。</w:t>
      </w:r>
    </w:p>
    <w:p>
      <w:pPr>
        <w:pStyle w:val="null3"/>
        <w:ind w:firstLine="480"/>
      </w:pPr>
      <w:r>
        <w:rPr>
          <w:rFonts w:ascii="仿宋_GB2312" w:hAnsi="仿宋_GB2312" w:cs="仿宋_GB2312" w:eastAsia="仿宋_GB2312"/>
          <w:sz w:val="24"/>
          <w:color w:val="000000"/>
        </w:rPr>
        <w:t>9.2</w:t>
      </w:r>
      <w:r>
        <w:rPr>
          <w:rFonts w:ascii="仿宋_GB2312" w:hAnsi="仿宋_GB2312" w:cs="仿宋_GB2312" w:eastAsia="仿宋_GB2312"/>
          <w:sz w:val="24"/>
          <w:color w:val="000000"/>
        </w:rPr>
        <w:t>验收过程中，实际数量以采购人验收（过秤）为准（双方无异议在进货单签字确认即可）。</w:t>
      </w:r>
    </w:p>
    <w:p>
      <w:pPr>
        <w:pStyle w:val="null3"/>
        <w:ind w:firstLine="480"/>
      </w:pPr>
      <w:r>
        <w:rPr>
          <w:rFonts w:ascii="仿宋_GB2312" w:hAnsi="仿宋_GB2312" w:cs="仿宋_GB2312" w:eastAsia="仿宋_GB2312"/>
          <w:sz w:val="24"/>
          <w:color w:val="000000"/>
        </w:rPr>
        <w:t>（1）包装要求：包装应清洁、卫生，无破损、漏气。</w:t>
      </w:r>
    </w:p>
    <w:p>
      <w:pPr>
        <w:pStyle w:val="null3"/>
        <w:ind w:firstLine="480"/>
      </w:pPr>
      <w:r>
        <w:rPr>
          <w:rFonts w:ascii="仿宋_GB2312" w:hAnsi="仿宋_GB2312" w:cs="仿宋_GB2312" w:eastAsia="仿宋_GB2312"/>
          <w:sz w:val="24"/>
          <w:color w:val="000000"/>
        </w:rPr>
        <w:t>（2）标签标识：标明产品名称、净含量、生产者名称和地址、生产日期、保质期、产品标准号等内容。</w:t>
      </w:r>
    </w:p>
    <w:p>
      <w:pPr>
        <w:pStyle w:val="null3"/>
        <w:ind w:firstLine="480"/>
      </w:pPr>
      <w:r>
        <w:rPr>
          <w:rFonts w:ascii="仿宋_GB2312" w:hAnsi="仿宋_GB2312" w:cs="仿宋_GB2312" w:eastAsia="仿宋_GB2312"/>
          <w:sz w:val="24"/>
          <w:color w:val="000000"/>
        </w:rPr>
        <w:t>9.3</w:t>
      </w:r>
      <w:r>
        <w:rPr>
          <w:rFonts w:ascii="仿宋_GB2312" w:hAnsi="仿宋_GB2312" w:cs="仿宋_GB2312" w:eastAsia="仿宋_GB2312"/>
          <w:sz w:val="24"/>
          <w:color w:val="000000"/>
        </w:rPr>
        <w:t>物资验收票证要求</w:t>
      </w:r>
    </w:p>
    <w:p>
      <w:pPr>
        <w:pStyle w:val="null3"/>
        <w:ind w:firstLine="480"/>
      </w:pPr>
      <w:r>
        <w:rPr>
          <w:rFonts w:ascii="仿宋_GB2312" w:hAnsi="仿宋_GB2312" w:cs="仿宋_GB2312" w:eastAsia="仿宋_GB2312"/>
          <w:sz w:val="24"/>
          <w:color w:val="000000"/>
        </w:rPr>
        <w:t>9.3.1</w:t>
      </w:r>
      <w:r>
        <w:rPr>
          <w:rFonts w:ascii="仿宋_GB2312" w:hAnsi="仿宋_GB2312" w:cs="仿宋_GB2312" w:eastAsia="仿宋_GB2312"/>
          <w:sz w:val="24"/>
          <w:color w:val="000000"/>
        </w:rPr>
        <w:t>生产（供应）企业的资质证明（首次供应时提供）</w:t>
      </w:r>
    </w:p>
    <w:tbl>
      <w:tblPr>
        <w:tblW w:w="0" w:type="auto"/>
        <w:tblBorders>
          <w:top w:val="none" w:color="000000" w:sz="4"/>
          <w:left w:val="none" w:color="000000" w:sz="4"/>
          <w:bottom w:val="none" w:color="000000" w:sz="4"/>
          <w:right w:val="none" w:color="000000" w:sz="4"/>
          <w:insideH w:val="none"/>
          <w:insideV w:val="none"/>
        </w:tblBorders>
      </w:tblPr>
      <w:tblGrid>
        <w:gridCol w:w="1214"/>
        <w:gridCol w:w="7092"/>
      </w:tblGrid>
      <w:tr>
        <w:tc>
          <w:tcPr>
            <w:tcW w:type="dxa" w:w="1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类别</w:t>
            </w:r>
          </w:p>
        </w:tc>
        <w:tc>
          <w:tcPr>
            <w:tcW w:type="dxa" w:w="70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资质证明</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蔬菜</w:t>
            </w:r>
          </w:p>
        </w:tc>
        <w:tc>
          <w:tcPr>
            <w:tcW w:type="dxa" w:w="70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《营业执照》</w:t>
            </w:r>
          </w:p>
        </w:tc>
      </w:tr>
    </w:tbl>
    <w:p>
      <w:pPr>
        <w:pStyle w:val="null3"/>
        <w:ind w:firstLine="480"/>
      </w:pPr>
      <w:r>
        <w:rPr>
          <w:rFonts w:ascii="仿宋_GB2312" w:hAnsi="仿宋_GB2312" w:cs="仿宋_GB2312" w:eastAsia="仿宋_GB2312"/>
          <w:sz w:val="24"/>
          <w:color w:val="000000"/>
        </w:rPr>
        <w:t>9.3.2</w:t>
      </w:r>
      <w:r>
        <w:rPr>
          <w:rFonts w:ascii="仿宋_GB2312" w:hAnsi="仿宋_GB2312" w:cs="仿宋_GB2312" w:eastAsia="仿宋_GB2312"/>
          <w:sz w:val="24"/>
          <w:color w:val="000000"/>
        </w:rPr>
        <w:t>产品票证要求（包括但不限于）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1109"/>
        <w:gridCol w:w="2594"/>
        <w:gridCol w:w="4603"/>
      </w:tblGrid>
      <w:tr>
        <w:tc>
          <w:tcPr>
            <w:tcW w:type="dxa" w:w="11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类别</w:t>
            </w:r>
          </w:p>
        </w:tc>
        <w:tc>
          <w:tcPr>
            <w:tcW w:type="dxa" w:w="259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产品资质名称</w:t>
            </w:r>
          </w:p>
        </w:tc>
        <w:tc>
          <w:tcPr>
            <w:tcW w:type="dxa" w:w="460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验收索证要求</w:t>
            </w:r>
          </w:p>
        </w:tc>
      </w:tr>
      <w:tr>
        <w:tc>
          <w:tcPr>
            <w:tcW w:type="dxa" w:w="11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蔬菜</w:t>
            </w:r>
          </w:p>
        </w:tc>
        <w:tc>
          <w:tcPr>
            <w:tcW w:type="dxa" w:w="2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检测报告</w:t>
            </w:r>
          </w:p>
        </w:tc>
        <w:tc>
          <w:tcPr>
            <w:tcW w:type="dxa" w:w="46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供货单位提供自检或委托第三方检验的加盖公章的蔬菜农药残留检测合格报告</w:t>
            </w:r>
          </w:p>
        </w:tc>
      </w:tr>
      <w:tr>
        <w:tc>
          <w:tcPr>
            <w:tcW w:type="dxa" w:w="1109"/>
            <w:vMerge/>
            <w:tcBorders>
              <w:top w:val="none" w:color="000000" w:sz="4"/>
              <w:left w:val="single" w:color="000000" w:sz="4"/>
              <w:bottom w:val="single" w:color="000000" w:sz="4"/>
              <w:right w:val="single" w:color="000000" w:sz="4"/>
            </w:tcBorders>
          </w:tcPr>
          <w:p/>
        </w:tc>
        <w:tc>
          <w:tcPr>
            <w:tcW w:type="dxa" w:w="2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货物清单</w:t>
            </w:r>
          </w:p>
        </w:tc>
        <w:tc>
          <w:tcPr>
            <w:tcW w:type="dxa" w:w="46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加盖公章的货物清单（送货单）</w:t>
            </w:r>
          </w:p>
        </w:tc>
      </w:tr>
    </w:tbl>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质量异议处理</w:t>
      </w:r>
    </w:p>
    <w:p>
      <w:pPr>
        <w:pStyle w:val="null3"/>
        <w:ind w:firstLine="480"/>
        <w:jc w:val="both"/>
      </w:pPr>
      <w:r>
        <w:rPr>
          <w:rFonts w:ascii="仿宋_GB2312" w:hAnsi="仿宋_GB2312" w:cs="仿宋_GB2312" w:eastAsia="仿宋_GB2312"/>
          <w:sz w:val="24"/>
          <w:color w:val="000000"/>
        </w:rPr>
        <w:t>10.1</w:t>
      </w:r>
      <w:r>
        <w:rPr>
          <w:rFonts w:ascii="仿宋_GB2312" w:hAnsi="仿宋_GB2312" w:cs="仿宋_GB2312" w:eastAsia="仿宋_GB2312"/>
          <w:sz w:val="24"/>
          <w:color w:val="000000"/>
        </w:rPr>
        <w:t>采购人有权对中标人供应的货物进行定期或不定期的抽样检验，采购人对有疑义的货物有权提取样品送权威部门检测，抽检的检验费用由中标人支付。</w:t>
      </w:r>
    </w:p>
    <w:p>
      <w:pPr>
        <w:pStyle w:val="null3"/>
        <w:ind w:firstLine="480"/>
        <w:jc w:val="both"/>
      </w:pPr>
      <w:r>
        <w:rPr>
          <w:rFonts w:ascii="仿宋_GB2312" w:hAnsi="仿宋_GB2312" w:cs="仿宋_GB2312" w:eastAsia="仿宋_GB2312"/>
          <w:sz w:val="24"/>
          <w:color w:val="000000"/>
        </w:rPr>
        <w:t>10.2</w:t>
      </w:r>
      <w:r>
        <w:rPr>
          <w:rFonts w:ascii="仿宋_GB2312" w:hAnsi="仿宋_GB2312" w:cs="仿宋_GB2312" w:eastAsia="仿宋_GB2312"/>
          <w:sz w:val="24"/>
          <w:color w:val="000000"/>
        </w:rPr>
        <w:t>采购人指定的管理人员认定中标人所送货物与采购人订单或合同要求不符时或货物送达之前被损坏，有权要求中标人退货或换货并给予中标人口头整改通知，若中标人有异议，应于接到采购人通知后1小时内书面（含电子文件）回复采购人并协商处理方式，否则将视为中标人对不符合质量要求的认定无异议，中标人应于2小时时间内退货或换货。</w:t>
      </w:r>
    </w:p>
    <w:p>
      <w:pPr>
        <w:pStyle w:val="null3"/>
        <w:ind w:firstLine="480"/>
        <w:jc w:val="both"/>
      </w:pPr>
      <w:r>
        <w:rPr>
          <w:rFonts w:ascii="仿宋_GB2312" w:hAnsi="仿宋_GB2312" w:cs="仿宋_GB2312" w:eastAsia="仿宋_GB2312"/>
          <w:sz w:val="24"/>
          <w:color w:val="000000"/>
        </w:rPr>
        <w:t>10.3</w:t>
      </w:r>
      <w:r>
        <w:rPr>
          <w:rFonts w:ascii="仿宋_GB2312" w:hAnsi="仿宋_GB2312" w:cs="仿宋_GB2312" w:eastAsia="仿宋_GB2312"/>
          <w:sz w:val="24"/>
          <w:color w:val="000000"/>
        </w:rPr>
        <w:t>中标人对处理方式提出书面（含电子文件）异议的，由采购人相关负责人进行处理，若采购人无法最终认定货物质量的，双方均有权将提取样品送权威部门检测或鉴定，检测合格的的检验费用由采购人支付，检测不合格的即视为中标人提供的货物质量不符合要求，且检验费用由中标人支付。</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、违约责任</w:t>
      </w:r>
    </w:p>
    <w:p>
      <w:pPr>
        <w:pStyle w:val="null3"/>
        <w:ind w:firstLine="480"/>
        <w:jc w:val="both"/>
      </w:pPr>
      <w:r>
        <w:rPr>
          <w:rFonts w:ascii="仿宋_GB2312" w:hAnsi="仿宋_GB2312" w:cs="仿宋_GB2312" w:eastAsia="仿宋_GB2312"/>
          <w:sz w:val="24"/>
          <w:color w:val="000000"/>
        </w:rPr>
        <w:t>11.1</w:t>
      </w:r>
      <w:r>
        <w:rPr>
          <w:rFonts w:ascii="仿宋_GB2312" w:hAnsi="仿宋_GB2312" w:cs="仿宋_GB2312" w:eastAsia="仿宋_GB2312"/>
          <w:sz w:val="24"/>
          <w:color w:val="000000"/>
        </w:rPr>
        <w:t>中标人不得销售“三无”产品，产品必须符合《中华人民共和国食品卫生法》及食品质量安全法则的规定。中标人若提供假冒、伪劣或变质过期商品，因此产生的不良后果，采购人有权终止合同及没收全部履约保证金，中标人应承担相应的法律责任。</w:t>
      </w:r>
    </w:p>
    <w:p>
      <w:pPr>
        <w:pStyle w:val="null3"/>
        <w:ind w:firstLine="480"/>
        <w:jc w:val="both"/>
      </w:pPr>
      <w:r>
        <w:rPr>
          <w:rFonts w:ascii="仿宋_GB2312" w:hAnsi="仿宋_GB2312" w:cs="仿宋_GB2312" w:eastAsia="仿宋_GB2312"/>
          <w:sz w:val="24"/>
          <w:color w:val="000000"/>
        </w:rPr>
        <w:t>11.2</w:t>
      </w:r>
      <w:r>
        <w:rPr>
          <w:rFonts w:ascii="仿宋_GB2312" w:hAnsi="仿宋_GB2312" w:cs="仿宋_GB2312" w:eastAsia="仿宋_GB2312"/>
          <w:sz w:val="24"/>
          <w:color w:val="000000"/>
        </w:rPr>
        <w:t>因中标人提供的物资验收不合格或供应不及时而出现货物供应短缺超本批次比例过10%的，中标人需在采购人规定的时间内补齐，如果无法补齐，采购人可根据实际情况自行采购，对中标人造成的损失，采购人概不负责。由采购人直接采购本批次的货物，所需货款及一切费用由中标人承担，中标人出现第一次违约，向采购人支付违约金人民币5000元，出现第二次违约，向采购人支付违约金人民币10000元，后续若再次出现违约的，则每次在上一次违约金基础上增加5000元，以此类推。</w:t>
      </w:r>
    </w:p>
    <w:p>
      <w:pPr>
        <w:pStyle w:val="null3"/>
        <w:ind w:firstLine="480"/>
        <w:jc w:val="both"/>
      </w:pPr>
      <w:r>
        <w:rPr>
          <w:rFonts w:ascii="仿宋_GB2312" w:hAnsi="仿宋_GB2312" w:cs="仿宋_GB2312" w:eastAsia="仿宋_GB2312"/>
          <w:sz w:val="24"/>
          <w:color w:val="000000"/>
        </w:rPr>
        <w:t>11.3</w:t>
      </w:r>
      <w:r>
        <w:rPr>
          <w:rFonts w:ascii="仿宋_GB2312" w:hAnsi="仿宋_GB2312" w:cs="仿宋_GB2312" w:eastAsia="仿宋_GB2312"/>
          <w:sz w:val="24"/>
          <w:color w:val="000000"/>
        </w:rPr>
        <w:t>合同签订后，中标人单方面不能履行合同，要求解除合同的，视为中标人违约，采购人不退还履约保证金，中标人还需向采购人支付合同金额10%的违约金。中标人要求解除合同须提前2个月书面通知采购人并放弃合同履约保证金及支付合同金额10%的违约金，否则，采购人有权要求中标人继续履行合同，中标人请求解除合同期间，应严格按照本项目合同要求继续履行合同义务。</w:t>
      </w:r>
    </w:p>
    <w:p>
      <w:pPr>
        <w:pStyle w:val="null3"/>
        <w:ind w:firstLine="480"/>
        <w:jc w:val="both"/>
      </w:pPr>
      <w:r>
        <w:rPr>
          <w:rFonts w:ascii="仿宋_GB2312" w:hAnsi="仿宋_GB2312" w:cs="仿宋_GB2312" w:eastAsia="仿宋_GB2312"/>
          <w:sz w:val="24"/>
          <w:color w:val="000000"/>
        </w:rPr>
        <w:t>11.4</w:t>
      </w:r>
      <w:r>
        <w:rPr>
          <w:rFonts w:ascii="仿宋_GB2312" w:hAnsi="仿宋_GB2312" w:cs="仿宋_GB2312" w:eastAsia="仿宋_GB2312"/>
          <w:sz w:val="24"/>
          <w:color w:val="000000"/>
        </w:rPr>
        <w:t>中标人包装不符合规定的，每发生一次扣违约金500元。</w:t>
      </w:r>
    </w:p>
    <w:p>
      <w:pPr>
        <w:pStyle w:val="null3"/>
        <w:ind w:firstLine="480"/>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因中标人提供质量不达标或受污染产品，造成采购人食物中毒事件的，采购人有权解除合同，没收履约保证金，并由中标人承担全部责任。情节严重的，中标人还要承担相应的法律责任。</w:t>
      </w:r>
    </w:p>
    <w:p>
      <w:pPr>
        <w:pStyle w:val="null3"/>
        <w:ind w:firstLine="480"/>
        <w:jc w:val="both"/>
      </w:pPr>
      <w:r>
        <w:rPr>
          <w:rFonts w:ascii="仿宋_GB2312" w:hAnsi="仿宋_GB2312" w:cs="仿宋_GB2312" w:eastAsia="仿宋_GB2312"/>
          <w:sz w:val="24"/>
          <w:color w:val="000000"/>
        </w:rPr>
        <w:t>11.6</w:t>
      </w:r>
      <w:r>
        <w:rPr>
          <w:rFonts w:ascii="仿宋_GB2312" w:hAnsi="仿宋_GB2312" w:cs="仿宋_GB2312" w:eastAsia="仿宋_GB2312"/>
          <w:sz w:val="24"/>
          <w:color w:val="000000"/>
        </w:rPr>
        <w:t>中标人提供的物资合格证明材料（物资检疫检测报告、物资品种化验单、物资合格证等）未随本批次物资同步送达，或中标人供货出现与采购人要求的本批次物资不符时，采购人扣违约金每次人民币1000元，出现多次（三次及以上）扣除违约金人民币5000元。</w:t>
      </w:r>
    </w:p>
    <w:p>
      <w:pPr>
        <w:pStyle w:val="null3"/>
        <w:ind w:firstLine="480"/>
        <w:jc w:val="both"/>
      </w:pPr>
      <w:r>
        <w:rPr>
          <w:rFonts w:ascii="仿宋_GB2312" w:hAnsi="仿宋_GB2312" w:cs="仿宋_GB2312" w:eastAsia="仿宋_GB2312"/>
          <w:sz w:val="24"/>
          <w:color w:val="000000"/>
        </w:rPr>
        <w:t>11.7</w:t>
      </w:r>
      <w:r>
        <w:rPr>
          <w:rFonts w:ascii="仿宋_GB2312" w:hAnsi="仿宋_GB2312" w:cs="仿宋_GB2312" w:eastAsia="仿宋_GB2312"/>
          <w:sz w:val="24"/>
          <w:color w:val="000000"/>
        </w:rPr>
        <w:t>中标人按采购人需要的品种、数量于每日上午8时前，送到采购人指定地方，清洗费、运输费、包装费均由中标人负责。违约一次扣违约金人民币1000元。</w:t>
      </w:r>
    </w:p>
    <w:p>
      <w:pPr>
        <w:pStyle w:val="null3"/>
        <w:ind w:firstLine="480"/>
        <w:jc w:val="both"/>
      </w:pPr>
      <w:r>
        <w:rPr>
          <w:rFonts w:ascii="仿宋_GB2312" w:hAnsi="仿宋_GB2312" w:cs="仿宋_GB2312" w:eastAsia="仿宋_GB2312"/>
          <w:sz w:val="24"/>
          <w:color w:val="000000"/>
        </w:rPr>
        <w:t>11.8</w:t>
      </w:r>
      <w:r>
        <w:rPr>
          <w:rFonts w:ascii="仿宋_GB2312" w:hAnsi="仿宋_GB2312" w:cs="仿宋_GB2312" w:eastAsia="仿宋_GB2312"/>
          <w:sz w:val="24"/>
          <w:color w:val="000000"/>
        </w:rPr>
        <w:t>中标人人员进入监区必须遵守法律和采购人有关规定，不得以任何方式为罪犯提供现金、手机、毒品、麻醉品等违禁品，一经查证属实，扣违约金人民币20000元，并不得再进入监区，采购人有权解除合同并不予退还履约保证金。情节严重的，中标人还要承担相应的法律责任。</w:t>
      </w:r>
    </w:p>
    <w:p>
      <w:pPr>
        <w:pStyle w:val="null3"/>
        <w:ind w:firstLine="480"/>
        <w:jc w:val="both"/>
      </w:pPr>
      <w:r>
        <w:rPr>
          <w:rFonts w:ascii="仿宋_GB2312" w:hAnsi="仿宋_GB2312" w:cs="仿宋_GB2312" w:eastAsia="仿宋_GB2312"/>
          <w:sz w:val="24"/>
          <w:color w:val="000000"/>
        </w:rPr>
        <w:t>11.9</w:t>
      </w:r>
      <w:r>
        <w:rPr>
          <w:rFonts w:ascii="仿宋_GB2312" w:hAnsi="仿宋_GB2312" w:cs="仿宋_GB2312" w:eastAsia="仿宋_GB2312"/>
          <w:sz w:val="24"/>
          <w:color w:val="000000"/>
        </w:rPr>
        <w:t>中标人非因不可抗力因素，不得私自调整采购人供货计划，确因特殊情况无法供货的，须提前3天与采购人协商，经许可后才能调整。若无故调整供货计划的，每发现一次扣违约金3000元。</w:t>
      </w:r>
    </w:p>
    <w:p>
      <w:pPr>
        <w:pStyle w:val="null3"/>
        <w:ind w:firstLine="480"/>
        <w:jc w:val="both"/>
      </w:pPr>
      <w:r>
        <w:rPr>
          <w:rFonts w:ascii="仿宋_GB2312" w:hAnsi="仿宋_GB2312" w:cs="仿宋_GB2312" w:eastAsia="仿宋_GB2312"/>
          <w:sz w:val="24"/>
          <w:color w:val="000000"/>
        </w:rPr>
        <w:t>11.10</w:t>
      </w:r>
      <w:r>
        <w:rPr>
          <w:rFonts w:ascii="仿宋_GB2312" w:hAnsi="仿宋_GB2312" w:cs="仿宋_GB2312" w:eastAsia="仿宋_GB2312"/>
          <w:sz w:val="24"/>
          <w:color w:val="000000"/>
        </w:rPr>
        <w:t>除本合同已有约定之外，中标人在履约过程中，出现相同情况三次及以上违约责任的情况，造成采购人生活保障困难，采购人有权终止合同，并没收中标人的履约保证金。</w:t>
      </w:r>
    </w:p>
    <w:p>
      <w:pPr>
        <w:pStyle w:val="null3"/>
        <w:ind w:firstLine="480"/>
        <w:jc w:val="both"/>
      </w:pPr>
      <w:r>
        <w:rPr>
          <w:rFonts w:ascii="仿宋_GB2312" w:hAnsi="仿宋_GB2312" w:cs="仿宋_GB2312" w:eastAsia="仿宋_GB2312"/>
          <w:sz w:val="24"/>
          <w:color w:val="000000"/>
        </w:rPr>
        <w:t>11.11</w:t>
      </w:r>
      <w:r>
        <w:rPr>
          <w:rFonts w:ascii="仿宋_GB2312" w:hAnsi="仿宋_GB2312" w:cs="仿宋_GB2312" w:eastAsia="仿宋_GB2312"/>
          <w:sz w:val="24"/>
          <w:color w:val="000000"/>
        </w:rPr>
        <w:t>除上述违约条款外，中标人未履行招标文件、投标文件、合同有关规定的其他事项或服务要求的、每发现一次，需向采购人支付违约金5000元。</w:t>
      </w:r>
    </w:p>
    <w:p>
      <w:pPr>
        <w:pStyle w:val="null3"/>
        <w:ind w:firstLine="480"/>
      </w:pPr>
      <w:r>
        <w:rPr>
          <w:rFonts w:ascii="仿宋_GB2312" w:hAnsi="仿宋_GB2312" w:cs="仿宋_GB2312" w:eastAsia="仿宋_GB2312"/>
          <w:sz w:val="24"/>
          <w:color w:val="000000"/>
        </w:rPr>
        <w:t>11.12</w:t>
      </w:r>
      <w:r>
        <w:rPr>
          <w:rFonts w:ascii="仿宋_GB2312" w:hAnsi="仿宋_GB2312" w:cs="仿宋_GB2312" w:eastAsia="仿宋_GB2312"/>
          <w:sz w:val="24"/>
          <w:color w:val="000000"/>
        </w:rPr>
        <w:t>因中标人违约，导致支付违约金的，在明确违约责任后，采购人有权从未结货款或履约保证金中直接扣除，不足的中标人应在接到书面通知书起七天内支付。</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、诉讼相关费用承担</w:t>
      </w:r>
    </w:p>
    <w:p>
      <w:pPr>
        <w:pStyle w:val="null3"/>
        <w:ind w:firstLine="480"/>
      </w:pPr>
      <w:r>
        <w:rPr>
          <w:rFonts w:ascii="仿宋_GB2312" w:hAnsi="仿宋_GB2312" w:cs="仿宋_GB2312" w:eastAsia="仿宋_GB2312"/>
          <w:sz w:val="24"/>
          <w:color w:val="000000"/>
        </w:rPr>
        <w:t>12.1</w:t>
      </w:r>
      <w:r>
        <w:rPr>
          <w:rFonts w:ascii="仿宋_GB2312" w:hAnsi="仿宋_GB2312" w:cs="仿宋_GB2312" w:eastAsia="仿宋_GB2312"/>
          <w:sz w:val="24"/>
          <w:color w:val="000000"/>
        </w:rPr>
        <w:t>若因中标人未履行本合同项下义务导致采购人所产生的一切损失（包括但不限于人身财产的损失、律师费、诉讼费、保全费、鉴定费等），均由中标人承担赔偿责任。</w:t>
      </w:r>
    </w:p>
    <w:p>
      <w:pPr>
        <w:pStyle w:val="null3"/>
        <w:ind w:firstLine="480"/>
      </w:pPr>
      <w:r>
        <w:rPr>
          <w:rFonts w:ascii="仿宋_GB2312" w:hAnsi="仿宋_GB2312" w:cs="仿宋_GB2312" w:eastAsia="仿宋_GB2312"/>
          <w:sz w:val="24"/>
          <w:color w:val="000000"/>
        </w:rPr>
        <w:t>13.</w:t>
      </w:r>
      <w:r>
        <w:rPr>
          <w:rFonts w:ascii="仿宋_GB2312" w:hAnsi="仿宋_GB2312" w:cs="仿宋_GB2312" w:eastAsia="仿宋_GB2312"/>
          <w:sz w:val="24"/>
          <w:color w:val="000000"/>
        </w:rPr>
        <w:t>违约终止合同</w:t>
      </w:r>
    </w:p>
    <w:p>
      <w:pPr>
        <w:pStyle w:val="null3"/>
        <w:ind w:firstLine="480"/>
      </w:pPr>
      <w:r>
        <w:rPr>
          <w:rFonts w:ascii="仿宋_GB2312" w:hAnsi="仿宋_GB2312" w:cs="仿宋_GB2312" w:eastAsia="仿宋_GB2312"/>
          <w:sz w:val="24"/>
          <w:color w:val="000000"/>
        </w:rPr>
        <w:t>13.1</w:t>
      </w:r>
      <w:r>
        <w:rPr>
          <w:rFonts w:ascii="仿宋_GB2312" w:hAnsi="仿宋_GB2312" w:cs="仿宋_GB2312" w:eastAsia="仿宋_GB2312"/>
          <w:sz w:val="24"/>
          <w:color w:val="000000"/>
        </w:rPr>
        <w:t>在合同履行期间，若遇政府部门或上级单位出台有关该项目的政策调整，继续履行合同违反相关政策文件要求的，采购人须提前30日通知中标人终止合同，因此造成的合同解除采购人不承担违约责任。</w:t>
      </w:r>
    </w:p>
    <w:p>
      <w:pPr>
        <w:pStyle w:val="null3"/>
        <w:ind w:firstLine="480"/>
      </w:pPr>
      <w:r>
        <w:rPr>
          <w:rFonts w:ascii="仿宋_GB2312" w:hAnsi="仿宋_GB2312" w:cs="仿宋_GB2312" w:eastAsia="仿宋_GB2312"/>
          <w:sz w:val="24"/>
          <w:color w:val="000000"/>
        </w:rPr>
        <w:t>13.2</w:t>
      </w:r>
      <w:r>
        <w:rPr>
          <w:rFonts w:ascii="仿宋_GB2312" w:hAnsi="仿宋_GB2312" w:cs="仿宋_GB2312" w:eastAsia="仿宋_GB2312"/>
          <w:sz w:val="24"/>
          <w:color w:val="000000"/>
        </w:rPr>
        <w:t>在补救违约而采取的任何其他措施未能实现的情况下，即在采购人发出的书面违约通知后30天内（或经采购人书面确认的更长时间内）中标人仍未纠正其下述任何一种违约行为，采购人可向中标人发出书面解约通知，终止全部或部分协议：</w:t>
      </w:r>
    </w:p>
    <w:p>
      <w:pPr>
        <w:pStyle w:val="null3"/>
        <w:ind w:firstLine="480"/>
      </w:pPr>
      <w:r>
        <w:rPr>
          <w:rFonts w:ascii="仿宋_GB2312" w:hAnsi="仿宋_GB2312" w:cs="仿宋_GB2312" w:eastAsia="仿宋_GB2312"/>
          <w:sz w:val="24"/>
          <w:color w:val="000000"/>
        </w:rPr>
        <w:t>（1）如果中标人未能在协议约定的期限内或采购人准许的任何延期内进行服务。</w:t>
      </w:r>
    </w:p>
    <w:p>
      <w:pPr>
        <w:pStyle w:val="null3"/>
        <w:ind w:firstLine="480"/>
      </w:pPr>
      <w:r>
        <w:rPr>
          <w:rFonts w:ascii="仿宋_GB2312" w:hAnsi="仿宋_GB2312" w:cs="仿宋_GB2312" w:eastAsia="仿宋_GB2312"/>
          <w:sz w:val="24"/>
          <w:color w:val="000000"/>
        </w:rPr>
        <w:t>（2）中标人未能履行协议项下的任何其它义务。</w:t>
      </w:r>
    </w:p>
    <w:p>
      <w:pPr>
        <w:pStyle w:val="null3"/>
        <w:ind w:firstLine="480"/>
      </w:pPr>
      <w:r>
        <w:rPr>
          <w:rFonts w:ascii="仿宋_GB2312" w:hAnsi="仿宋_GB2312" w:cs="仿宋_GB2312" w:eastAsia="仿宋_GB2312"/>
          <w:sz w:val="24"/>
          <w:color w:val="000000"/>
        </w:rPr>
        <w:t>14.</w:t>
      </w:r>
      <w:r>
        <w:rPr>
          <w:rFonts w:ascii="仿宋_GB2312" w:hAnsi="仿宋_GB2312" w:cs="仿宋_GB2312" w:eastAsia="仿宋_GB2312"/>
          <w:sz w:val="24"/>
          <w:color w:val="000000"/>
        </w:rPr>
        <w:t>不可抗力</w:t>
      </w:r>
    </w:p>
    <w:p>
      <w:pPr>
        <w:pStyle w:val="null3"/>
        <w:ind w:firstLine="480"/>
      </w:pPr>
      <w:r>
        <w:rPr>
          <w:rFonts w:ascii="仿宋_GB2312" w:hAnsi="仿宋_GB2312" w:cs="仿宋_GB2312" w:eastAsia="仿宋_GB2312"/>
          <w:sz w:val="24"/>
          <w:color w:val="000000"/>
        </w:rPr>
        <w:t>14.1</w:t>
      </w:r>
      <w:r>
        <w:rPr>
          <w:rFonts w:ascii="仿宋_GB2312" w:hAnsi="仿宋_GB2312" w:cs="仿宋_GB2312" w:eastAsia="仿宋_GB2312"/>
          <w:sz w:val="24"/>
          <w:color w:val="000000"/>
        </w:rPr>
        <w:t>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pStyle w:val="null3"/>
        <w:ind w:firstLine="480"/>
      </w:pPr>
      <w:r>
        <w:rPr>
          <w:rFonts w:ascii="仿宋_GB2312" w:hAnsi="仿宋_GB2312" w:cs="仿宋_GB2312" w:eastAsia="仿宋_GB2312"/>
          <w:sz w:val="24"/>
          <w:color w:val="000000"/>
        </w:rPr>
        <w:t>14.2</w:t>
      </w:r>
      <w:r>
        <w:rPr>
          <w:rFonts w:ascii="仿宋_GB2312" w:hAnsi="仿宋_GB2312" w:cs="仿宋_GB2312" w:eastAsia="仿宋_GB2312"/>
          <w:sz w:val="24"/>
          <w:color w:val="000000"/>
        </w:rPr>
        <w:t>本合同中的不可抗力指不能预见、不能避免并不能克服的客观情况。包括但不限于：自然灾害如地震、台风、洪水、火灾；政府行为、法律规定或其适用的变化或者其他任何无法预见、避免或者控制的事件。</w:t>
      </w:r>
    </w:p>
    <w:p>
      <w:pPr>
        <w:pStyle w:val="null3"/>
        <w:ind w:firstLine="480"/>
      </w:pPr>
      <w:r>
        <w:rPr>
          <w:rFonts w:ascii="仿宋_GB2312" w:hAnsi="仿宋_GB2312" w:cs="仿宋_GB2312" w:eastAsia="仿宋_GB2312"/>
          <w:sz w:val="24"/>
          <w:color w:val="000000"/>
        </w:rPr>
        <w:t>15.</w:t>
      </w:r>
      <w:r>
        <w:rPr>
          <w:rFonts w:ascii="仿宋_GB2312" w:hAnsi="仿宋_GB2312" w:cs="仿宋_GB2312" w:eastAsia="仿宋_GB2312"/>
          <w:sz w:val="24"/>
          <w:color w:val="000000"/>
        </w:rPr>
        <w:t>专利权及知识产权</w:t>
      </w:r>
    </w:p>
    <w:p>
      <w:pPr>
        <w:pStyle w:val="null3"/>
        <w:ind w:firstLine="480"/>
      </w:pPr>
      <w:r>
        <w:rPr>
          <w:rFonts w:ascii="仿宋_GB2312" w:hAnsi="仿宋_GB2312" w:cs="仿宋_GB2312" w:eastAsia="仿宋_GB2312"/>
          <w:sz w:val="24"/>
          <w:color w:val="000000"/>
        </w:rPr>
        <w:t>15.1</w:t>
      </w:r>
      <w:r>
        <w:rPr>
          <w:rFonts w:ascii="仿宋_GB2312" w:hAnsi="仿宋_GB2312" w:cs="仿宋_GB2312" w:eastAsia="仿宋_GB2312"/>
          <w:sz w:val="24"/>
          <w:color w:val="000000"/>
        </w:rPr>
        <w:t>中标人须保障采购人在使用该货物或其任何一部分时不受到第三方关于侵犯专利权、商标权或工业设计权等知识产权的指控。如果任何第三方提出侵权指控与采购人无关，中标人须与第三方交涉并承担可能发生的责任与一切费用。如采购人因此而遭致损失的，中标人应赔偿该损失。</w:t>
      </w:r>
    </w:p>
    <w:p>
      <w:pPr>
        <w:pStyle w:val="null3"/>
        <w:ind w:firstLine="480"/>
      </w:pPr>
      <w:r>
        <w:rPr>
          <w:rFonts w:ascii="仿宋_GB2312" w:hAnsi="仿宋_GB2312" w:cs="仿宋_GB2312" w:eastAsia="仿宋_GB2312"/>
          <w:sz w:val="24"/>
          <w:color w:val="000000"/>
        </w:rPr>
        <w:t>16.</w:t>
      </w:r>
      <w:r>
        <w:rPr>
          <w:rFonts w:ascii="仿宋_GB2312" w:hAnsi="仿宋_GB2312" w:cs="仿宋_GB2312" w:eastAsia="仿宋_GB2312"/>
          <w:sz w:val="24"/>
          <w:color w:val="000000"/>
        </w:rPr>
        <w:t>保密条款</w:t>
      </w:r>
    </w:p>
    <w:p>
      <w:pPr>
        <w:pStyle w:val="null3"/>
        <w:ind w:firstLine="480"/>
      </w:pPr>
      <w:r>
        <w:rPr>
          <w:rFonts w:ascii="仿宋_GB2312" w:hAnsi="仿宋_GB2312" w:cs="仿宋_GB2312" w:eastAsia="仿宋_GB2312"/>
          <w:sz w:val="24"/>
          <w:color w:val="000000"/>
        </w:rPr>
        <w:t>16.1</w:t>
      </w:r>
      <w:r>
        <w:rPr>
          <w:rFonts w:ascii="仿宋_GB2312" w:hAnsi="仿宋_GB2312" w:cs="仿宋_GB2312" w:eastAsia="仿宋_GB2312"/>
          <w:sz w:val="24"/>
          <w:color w:val="000000"/>
        </w:rPr>
        <w:t>中标人应当对本合同的内容、因履行本合同或在本合同期间知悉的或收到的采购人的财务、技术、产品信息、民警资料或其他工作上的文件资料、工作内容等予以保密，不得向本合同以外的任何第三方披露，签订并严格执行《单位保密承诺书》；中标人进入采购人工作区域的工作人员需签订《个人保密承诺书》，严格履行保密义务。</w:t>
      </w:r>
    </w:p>
    <w:p>
      <w:pPr>
        <w:pStyle w:val="null3"/>
        <w:ind w:firstLine="480"/>
      </w:pPr>
      <w:r>
        <w:rPr>
          <w:rFonts w:ascii="仿宋_GB2312" w:hAnsi="仿宋_GB2312" w:cs="仿宋_GB2312" w:eastAsia="仿宋_GB2312"/>
          <w:sz w:val="24"/>
          <w:color w:val="000000"/>
        </w:rPr>
        <w:t>16.2</w:t>
      </w:r>
      <w:r>
        <w:rPr>
          <w:rFonts w:ascii="仿宋_GB2312" w:hAnsi="仿宋_GB2312" w:cs="仿宋_GB2312" w:eastAsia="仿宋_GB2312"/>
          <w:sz w:val="24"/>
          <w:color w:val="000000"/>
        </w:rPr>
        <w:t>中标人违反本条约定泄露采购人的涉密信息的，应承担相应的法律责任，造成采购人损失的，中标人应当依法承担赔偿责任。</w:t>
      </w:r>
    </w:p>
    <w:p>
      <w:pPr>
        <w:pStyle w:val="null3"/>
        <w:ind w:firstLine="480"/>
      </w:pPr>
      <w:r>
        <w:rPr>
          <w:rFonts w:ascii="仿宋_GB2312" w:hAnsi="仿宋_GB2312" w:cs="仿宋_GB2312" w:eastAsia="仿宋_GB2312"/>
          <w:sz w:val="24"/>
          <w:color w:val="000000"/>
        </w:rPr>
        <w:t>16.3</w:t>
      </w:r>
      <w:r>
        <w:rPr>
          <w:rFonts w:ascii="仿宋_GB2312" w:hAnsi="仿宋_GB2312" w:cs="仿宋_GB2312" w:eastAsia="仿宋_GB2312"/>
          <w:sz w:val="24"/>
          <w:color w:val="000000"/>
        </w:rPr>
        <w:t>本条款不因合同届满或解除而失效。</w:t>
      </w:r>
    </w:p>
    <w:p>
      <w:pPr>
        <w:pStyle w:val="null3"/>
        <w:ind w:firstLine="480"/>
      </w:pPr>
      <w:r>
        <w:rPr>
          <w:rFonts w:ascii="仿宋_GB2312" w:hAnsi="仿宋_GB2312" w:cs="仿宋_GB2312" w:eastAsia="仿宋_GB2312"/>
          <w:sz w:val="24"/>
          <w:color w:val="000000"/>
        </w:rPr>
        <w:t>17.</w:t>
      </w:r>
      <w:r>
        <w:rPr>
          <w:rFonts w:ascii="仿宋_GB2312" w:hAnsi="仿宋_GB2312" w:cs="仿宋_GB2312" w:eastAsia="仿宋_GB2312"/>
          <w:sz w:val="24"/>
          <w:color w:val="000000"/>
        </w:rPr>
        <w:t>廉政条款</w:t>
      </w:r>
    </w:p>
    <w:p>
      <w:pPr>
        <w:pStyle w:val="null3"/>
        <w:ind w:firstLine="480"/>
      </w:pPr>
      <w:r>
        <w:rPr>
          <w:rFonts w:ascii="仿宋_GB2312" w:hAnsi="仿宋_GB2312" w:cs="仿宋_GB2312" w:eastAsia="仿宋_GB2312"/>
          <w:sz w:val="24"/>
          <w:color w:val="000000"/>
        </w:rPr>
        <w:t>17.1</w:t>
      </w:r>
      <w:r>
        <w:rPr>
          <w:rFonts w:ascii="仿宋_GB2312" w:hAnsi="仿宋_GB2312" w:cs="仿宋_GB2312" w:eastAsia="仿宋_GB2312"/>
          <w:sz w:val="24"/>
          <w:color w:val="000000"/>
        </w:rPr>
        <w:t>中标人及其工作人员不得有以任何形式行贿采购人工作人员的行为，若发现并被核查属实的，采购人有权解除合同且不退还履约保证金，情节严重的，中标人及其工作人员还要承担相应的法律责任；采购人及其工作人员不得索要或接受中标人的礼金及吃请等，如有违反廉政纪律等行为的，依据有关规定给予党纪、政纪或组织处理，情节严重的，还应承担相应的法律责任。</w:t>
      </w:r>
    </w:p>
    <w:p>
      <w:pPr>
        <w:pStyle w:val="null3"/>
        <w:ind w:firstLine="480"/>
      </w:pPr>
      <w:r>
        <w:rPr>
          <w:rFonts w:ascii="仿宋_GB2312" w:hAnsi="仿宋_GB2312" w:cs="仿宋_GB2312" w:eastAsia="仿宋_GB2312"/>
          <w:sz w:val="24"/>
          <w:color w:val="000000"/>
        </w:rPr>
        <w:t>18.</w:t>
      </w:r>
      <w:r>
        <w:rPr>
          <w:rFonts w:ascii="仿宋_GB2312" w:hAnsi="仿宋_GB2312" w:cs="仿宋_GB2312" w:eastAsia="仿宋_GB2312"/>
          <w:sz w:val="24"/>
          <w:color w:val="000000"/>
        </w:rPr>
        <w:t>合同纠纷处理方式</w:t>
      </w:r>
    </w:p>
    <w:p>
      <w:pPr>
        <w:pStyle w:val="null3"/>
        <w:ind w:firstLine="480"/>
      </w:pPr>
      <w:r>
        <w:rPr>
          <w:rFonts w:ascii="仿宋_GB2312" w:hAnsi="仿宋_GB2312" w:cs="仿宋_GB2312" w:eastAsia="仿宋_GB2312"/>
          <w:sz w:val="24"/>
          <w:color w:val="000000"/>
        </w:rPr>
        <w:t>18.1</w:t>
      </w:r>
      <w:r>
        <w:rPr>
          <w:rFonts w:ascii="仿宋_GB2312" w:hAnsi="仿宋_GB2312" w:cs="仿宋_GB2312" w:eastAsia="仿宋_GB2312"/>
          <w:sz w:val="24"/>
          <w:color w:val="000000"/>
        </w:rPr>
        <w:t>合同争议处理方式</w:t>
      </w:r>
    </w:p>
    <w:p>
      <w:pPr>
        <w:pStyle w:val="null3"/>
        <w:ind w:firstLine="480"/>
      </w:pPr>
      <w:r>
        <w:rPr>
          <w:rFonts w:ascii="仿宋_GB2312" w:hAnsi="仿宋_GB2312" w:cs="仿宋_GB2312" w:eastAsia="仿宋_GB2312"/>
          <w:sz w:val="24"/>
          <w:color w:val="000000"/>
        </w:rPr>
        <w:t>采购人与中标人必须认真履行合同条款。因本合同或与本合同有关的一切事项发生争议，由双方友好协商解决，协商不成的，任何一方均可向采购人所在地人民法院提起诉讼。</w:t>
      </w:r>
    </w:p>
    <w:p>
      <w:pPr>
        <w:pStyle w:val="null3"/>
        <w:ind w:firstLine="480"/>
      </w:pPr>
      <w:r>
        <w:rPr>
          <w:rFonts w:ascii="仿宋_GB2312" w:hAnsi="仿宋_GB2312" w:cs="仿宋_GB2312" w:eastAsia="仿宋_GB2312"/>
          <w:sz w:val="24"/>
          <w:color w:val="000000"/>
        </w:rPr>
        <w:t>18.2</w:t>
      </w:r>
      <w:r>
        <w:rPr>
          <w:rFonts w:ascii="仿宋_GB2312" w:hAnsi="仿宋_GB2312" w:cs="仿宋_GB2312" w:eastAsia="仿宋_GB2312"/>
          <w:sz w:val="24"/>
          <w:color w:val="000000"/>
        </w:rPr>
        <w:t>合同补充和修改</w:t>
      </w:r>
    </w:p>
    <w:p>
      <w:pPr>
        <w:pStyle w:val="null3"/>
      </w:pPr>
      <w:r>
        <w:rPr>
          <w:rFonts w:ascii="仿宋_GB2312" w:hAnsi="仿宋_GB2312" w:cs="仿宋_GB2312" w:eastAsia="仿宋_GB2312"/>
          <w:sz w:val="24"/>
          <w:color w:val="000000"/>
        </w:rPr>
        <w:t>本合同生效后，双方对合同内容的变更或补充应采取书面形式，并经双方签字并盖章确认。</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采购人有权对中标人投标文件中的承诺内容、资料和说明进行原件核查、实地核查，中标人应无条件配合采购人的核查工作，不得拒绝核查或隐瞒真实情况。若在中标后或签约时或履行合同过程中发现中标人有提供虚假材料或承诺谋取中标等违法违规行为，采购人将上报监督管理部门处理，给采购人造成损失（损失包括直接损失和间接损失及因追索该损失而产生的诉讼费、律师费等）的，采购人有权要求中标人进行赔偿并负相关责任。 2.3、本招标文件未明确的其它约定事项或条款，待采购人与中标人签订合同时，由双方协商订立。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[350001]FJGC[GK]2025005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福建省翔安监狱伙房蔬菜配送服务项目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福建省翔安监狱伙房蔬菜配送服务项目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福建省翔安监狱伙房蔬菜配送服务项目</w:t>
            </w:r>
          </w:p>
        </w:tc>
        <w:tc>
          <w:tcPr>
            <w:tcW w:type="dxa" w:w="1661"/>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[350001]FJGC[GK]2025005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福建省翔安监狱伙房蔬菜配送服务项目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福建省翔安监狱伙房蔬菜配送服务项目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福建省翔安监狱伙房蔬菜配送服务项目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福建省翔安监狱伙房蔬菜配送服务项目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